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E" w:rsidRPr="002E45E5" w:rsidRDefault="00652C6E" w:rsidP="00652C6E">
      <w:pPr>
        <w:jc w:val="center"/>
      </w:pPr>
      <w:r w:rsidRPr="002E45E5">
        <w:rPr>
          <w:noProof/>
        </w:rPr>
        <w:drawing>
          <wp:inline distT="0" distB="0" distL="0" distR="0" wp14:anchorId="4F2C7582" wp14:editId="77A4D59D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6E" w:rsidRPr="002E45E5" w:rsidRDefault="00652C6E" w:rsidP="00652C6E"/>
    <w:p w:rsidR="00652C6E" w:rsidRPr="002E45E5" w:rsidRDefault="00652C6E" w:rsidP="00652C6E">
      <w:pPr>
        <w:rPr>
          <w:rFonts w:ascii="LitNusx" w:hAnsi="LitNusx"/>
          <w:b/>
          <w:bCs/>
          <w:sz w:val="40"/>
        </w:rPr>
      </w:pPr>
    </w:p>
    <w:p w:rsidR="00652C6E" w:rsidRPr="002E45E5" w:rsidRDefault="00652C6E" w:rsidP="00652C6E">
      <w:pPr>
        <w:rPr>
          <w:rFonts w:ascii="LitNusx" w:hAnsi="LitNusx"/>
          <w:b/>
          <w:bCs/>
          <w:sz w:val="40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2E45E5"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="006B79C8" w:rsidRPr="002E45E5">
        <w:rPr>
          <w:rFonts w:ascii="Sylfaen" w:hAnsi="Sylfaen"/>
          <w:b/>
          <w:bCs/>
          <w:sz w:val="36"/>
          <w:szCs w:val="36"/>
          <w:lang w:val="ka-GE"/>
        </w:rPr>
        <w:t>9</w:t>
      </w:r>
      <w:r w:rsidRPr="002E45E5"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ბიუჯეტის</w:t>
      </w:r>
      <w:r w:rsidR="006B79C8" w:rsidRPr="002E45E5">
        <w:rPr>
          <w:rFonts w:ascii="Sylfaen" w:hAnsi="Sylfaen"/>
          <w:b/>
          <w:bCs/>
          <w:sz w:val="36"/>
          <w:szCs w:val="36"/>
        </w:rPr>
        <w:t xml:space="preserve"> </w:t>
      </w:r>
      <w:r w:rsidR="005741D1" w:rsidRPr="002E45E5">
        <w:rPr>
          <w:rFonts w:ascii="Sylfaen" w:hAnsi="Sylfaen"/>
          <w:b/>
          <w:bCs/>
          <w:sz w:val="36"/>
          <w:szCs w:val="36"/>
          <w:lang w:val="ka-GE"/>
        </w:rPr>
        <w:t>6 თვის</w:t>
      </w:r>
      <w:r w:rsidRPr="002E45E5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2E45E5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2E45E5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652C6E" w:rsidRPr="002E45E5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652C6E" w:rsidRPr="002E45E5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2E45E5">
        <w:rPr>
          <w:rFonts w:ascii="Sylfaen" w:hAnsi="Sylfaen"/>
          <w:b/>
          <w:bCs/>
          <w:sz w:val="28"/>
          <w:szCs w:val="28"/>
          <w:lang w:val="ka-GE"/>
        </w:rPr>
        <w:t>2019</w:t>
      </w:r>
    </w:p>
    <w:p w:rsidR="00652C6E" w:rsidRPr="002E45E5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Pr="002E45E5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5741D1" w:rsidRDefault="005741D1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8430B2" w:rsidRPr="002E45E5" w:rsidRDefault="008430B2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2E45E5" w:rsidRPr="002E45E5" w:rsidRDefault="002E45E5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8430B2" w:rsidRDefault="008430B2" w:rsidP="00A7694B">
      <w:pPr>
        <w:jc w:val="center"/>
        <w:rPr>
          <w:rFonts w:ascii="Sylfaen" w:hAnsi="Sylfaen" w:cs="Sylfaen"/>
          <w:b/>
          <w:noProof/>
          <w:lang w:val="pt-BR"/>
        </w:rPr>
      </w:pPr>
    </w:p>
    <w:p w:rsidR="001322B1" w:rsidRPr="008430B2" w:rsidRDefault="00BA23B9" w:rsidP="00A7694B">
      <w:pPr>
        <w:jc w:val="center"/>
        <w:rPr>
          <w:rFonts w:ascii="Sylfaen" w:hAnsi="Sylfaen"/>
          <w:b/>
          <w:noProof/>
          <w:lang w:val="pt-BR"/>
        </w:rPr>
      </w:pPr>
      <w:r w:rsidRPr="008430B2">
        <w:rPr>
          <w:rFonts w:ascii="Sylfaen" w:hAnsi="Sylfaen" w:cs="Sylfaen"/>
          <w:b/>
          <w:noProof/>
          <w:lang w:val="pt-BR"/>
        </w:rPr>
        <w:lastRenderedPageBreak/>
        <w:t>თავი</w:t>
      </w:r>
      <w:r w:rsidR="001322B1" w:rsidRPr="008430B2">
        <w:rPr>
          <w:rFonts w:ascii="Sylfaen" w:hAnsi="Sylfaen"/>
          <w:b/>
          <w:noProof/>
          <w:lang w:val="pt-BR"/>
        </w:rPr>
        <w:t xml:space="preserve"> I</w:t>
      </w:r>
    </w:p>
    <w:p w:rsidR="005741D1" w:rsidRPr="008430B2" w:rsidRDefault="005741D1" w:rsidP="00A7694B">
      <w:pPr>
        <w:jc w:val="center"/>
        <w:rPr>
          <w:rFonts w:ascii="Sylfaen" w:hAnsi="Sylfaen"/>
          <w:b/>
          <w:noProof/>
          <w:lang w:val="pt-BR"/>
        </w:rPr>
      </w:pPr>
      <w:bookmarkStart w:id="0" w:name="_GoBack"/>
      <w:bookmarkEnd w:id="0"/>
    </w:p>
    <w:p w:rsidR="007E6BC3" w:rsidRPr="008430B2" w:rsidRDefault="006B79C8" w:rsidP="001109F7">
      <w:pPr>
        <w:ind w:left="180"/>
        <w:jc w:val="center"/>
        <w:rPr>
          <w:rFonts w:ascii="Sylfaen" w:hAnsi="Sylfaen" w:cs="Sylfaen"/>
          <w:b/>
          <w:noProof/>
          <w:lang w:val="pt-BR"/>
        </w:rPr>
      </w:pPr>
      <w:r w:rsidRPr="008430B2">
        <w:rPr>
          <w:rFonts w:ascii="Sylfaen" w:hAnsi="Sylfaen" w:cs="Sylfaen"/>
          <w:b/>
          <w:noProof/>
          <w:lang w:val="pt-BR"/>
        </w:rPr>
        <w:t>201</w:t>
      </w:r>
      <w:r w:rsidR="00F23336" w:rsidRPr="008430B2">
        <w:rPr>
          <w:rFonts w:ascii="Sylfaen" w:hAnsi="Sylfaen" w:cs="Sylfaen"/>
          <w:b/>
          <w:noProof/>
          <w:lang w:val="pt-BR"/>
        </w:rPr>
        <w:t>9</w:t>
      </w:r>
      <w:r w:rsidRPr="008430B2">
        <w:rPr>
          <w:rFonts w:ascii="Sylfaen" w:hAnsi="Sylfaen" w:cs="Sylfaen"/>
          <w:b/>
          <w:noProof/>
          <w:lang w:val="pt-BR"/>
        </w:rPr>
        <w:t xml:space="preserve"> წლის </w:t>
      </w:r>
      <w:r w:rsidR="005741D1" w:rsidRPr="008430B2">
        <w:rPr>
          <w:rFonts w:ascii="Sylfaen" w:hAnsi="Sylfaen" w:cs="Sylfaen"/>
          <w:b/>
          <w:noProof/>
          <w:lang w:val="ka-GE"/>
        </w:rPr>
        <w:t>6 თვის</w:t>
      </w:r>
      <w:r w:rsidRPr="008430B2">
        <w:rPr>
          <w:rFonts w:ascii="Sylfaen" w:hAnsi="Sylfaen" w:cs="Sylfaen"/>
          <w:b/>
          <w:noProof/>
          <w:lang w:val="pt-BR"/>
        </w:rPr>
        <w:t xml:space="preserve"> საქართველოს სახელმწიფო ბიუჯეტის შესრულების </w:t>
      </w:r>
      <w:r w:rsidR="001109F7" w:rsidRPr="008430B2">
        <w:rPr>
          <w:rFonts w:ascii="Sylfaen" w:hAnsi="Sylfaen" w:cs="Sylfaen"/>
          <w:b/>
          <w:noProof/>
          <w:lang w:val="ka-GE"/>
        </w:rPr>
        <w:t>მ</w:t>
      </w:r>
      <w:r w:rsidRPr="008430B2">
        <w:rPr>
          <w:rFonts w:ascii="Sylfaen" w:hAnsi="Sylfaen" w:cs="Sylfaen"/>
          <w:b/>
          <w:noProof/>
          <w:lang w:val="pt-BR"/>
        </w:rPr>
        <w:t>აჩვენებლები</w:t>
      </w:r>
    </w:p>
    <w:p w:rsidR="006142D5" w:rsidRPr="002E45E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6B37E4" w:rsidRPr="002E45E5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2E45E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2E45E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2E45E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36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100"/>
        <w:gridCol w:w="2496"/>
        <w:gridCol w:w="2308"/>
        <w:gridCol w:w="1873"/>
      </w:tblGrid>
      <w:tr w:rsidR="001109F7" w:rsidRPr="002E45E5" w:rsidTr="002E45E5">
        <w:trPr>
          <w:trHeight w:val="575"/>
          <w:tblHeader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 w:rsidP="002E45E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 xml:space="preserve">6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br/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დაზუსტებული</w:t>
            </w:r>
            <w:proofErr w:type="spellEnd"/>
            <w:r w:rsid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გეგმა</w:t>
            </w:r>
            <w:proofErr w:type="spellEnd"/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 w:rsidP="002E45E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 xml:space="preserve">6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br/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ფაქტიური</w:t>
            </w:r>
            <w:proofErr w:type="spellEnd"/>
            <w:r w:rsid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შესრულება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შესრულება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%-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ში</w:t>
            </w:r>
            <w:proofErr w:type="spellEnd"/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4,918,081.5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5,038,684.7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102.5%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4,463,600.0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4,503,857.8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100.9%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214,434.0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259,155.7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120.9%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240,047.5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275,671.3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114.8%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4,663,679.5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4,596,911.8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98.6%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შრომის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720,251.7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707,349.0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630,013.5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600,199.4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284,555.0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284,550.3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228,496.2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221,421.6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233,793.6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224,638.1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1,916,831.8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1,914,875.3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649,737.7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643,878.1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საოპერაციო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254,402.0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441,773.0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173.7%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არაფინანსური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აქტივების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778,505.7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738,976.2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94.9%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811,605.7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783,488.9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33,100.0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44,512.7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134.5%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მთლიანი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-524,103.6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-297,203.2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56.7%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ფინასური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აქტივების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-381,007.3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-114,625.5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30.1%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95,150.0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105,478.6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110.9%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95,150.0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105,478.6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110.9%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476,157.3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220,104.1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46.2%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ვალუტა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434,657.3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172,749.7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39.7%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47,354.0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114.1%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დებიტორული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ვალდებულებების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143,096.4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182,577.8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127.6%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592,727.0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632,203.5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106.7%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194,652.0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275,688.1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141.6%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  <w:lang w:val="ka-GE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ფასიანი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ქაღალდები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,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გარდა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აქციებისა</w:t>
            </w:r>
            <w:proofErr w:type="spellEnd"/>
            <w:r w:rsidR="003C050F" w:rsidRPr="002E45E5">
              <w:rPr>
                <w:rFonts w:ascii="Sylfaen" w:hAnsi="Sylfaen" w:cs="Calibri"/>
                <w:color w:val="86008A"/>
                <w:sz w:val="18"/>
                <w:szCs w:val="18"/>
                <w:lang w:val="ka-GE"/>
              </w:rPr>
              <w:t>*</w:t>
            </w:r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194,652.0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275,687.8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141.6%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კრედიტორული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398,075.0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356,515.4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89.6%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398,075.0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356,515.4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449,630.6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449,625.7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100.0%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24,165.1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24,165.1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100.0%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ფასიანი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ქაღალდები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,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გარდა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22,000.0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22,000.0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2,165.1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2,165.1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425,465.6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425,460.7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100.0%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425,465.6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425,460.7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1109F7" w:rsidRPr="002E45E5" w:rsidTr="002E45E5">
        <w:trPr>
          <w:trHeight w:val="288"/>
        </w:trPr>
        <w:tc>
          <w:tcPr>
            <w:tcW w:w="1902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109F7" w:rsidRPr="002E45E5" w:rsidRDefault="001109F7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</w:tbl>
    <w:p w:rsidR="001D45AF" w:rsidRPr="002E45E5" w:rsidRDefault="001D45AF" w:rsidP="001D45A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2E45E5">
        <w:rPr>
          <w:rFonts w:ascii="Sylfaen" w:hAnsi="Sylfaen"/>
          <w:i/>
          <w:noProof/>
          <w:sz w:val="18"/>
          <w:szCs w:val="18"/>
          <w:lang w:val="ka-GE"/>
        </w:rPr>
        <w:lastRenderedPageBreak/>
        <w:t>*</w:t>
      </w:r>
      <w:r w:rsidRPr="002E45E5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="00805F5E" w:rsidRPr="002E45E5">
        <w:rPr>
          <w:rFonts w:ascii="Sylfaen" w:hAnsi="Sylfaen"/>
          <w:i/>
          <w:noProof/>
          <w:sz w:val="18"/>
          <w:szCs w:val="18"/>
          <w:lang w:val="ka-GE"/>
        </w:rPr>
        <w:t xml:space="preserve">922 824.1 </w:t>
      </w:r>
      <w:r w:rsidRPr="002E45E5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6845C5" w:rsidRPr="002E45E5">
        <w:rPr>
          <w:rFonts w:ascii="Sylfaen" w:hAnsi="Sylfaen"/>
          <w:i/>
          <w:noProof/>
          <w:sz w:val="18"/>
          <w:szCs w:val="18"/>
          <w:lang w:val="ka-GE"/>
        </w:rPr>
        <w:t>647 136.3</w:t>
      </w:r>
      <w:r w:rsidRPr="002E45E5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2E45E5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</w:t>
      </w:r>
      <w:r w:rsidRPr="002E45E5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Pr="002E45E5">
        <w:rPr>
          <w:rFonts w:ascii="Sylfaen" w:hAnsi="Sylfaen"/>
          <w:i/>
          <w:noProof/>
          <w:sz w:val="18"/>
          <w:szCs w:val="18"/>
          <w:lang w:val="pt-BR"/>
        </w:rPr>
        <w:t xml:space="preserve">ზრდამ შეადგინა  </w:t>
      </w:r>
      <w:r w:rsidR="00805F5E" w:rsidRPr="002E45E5">
        <w:rPr>
          <w:rFonts w:ascii="Sylfaen" w:hAnsi="Sylfaen" w:cs="Sylfaen"/>
          <w:i/>
          <w:sz w:val="18"/>
          <w:szCs w:val="18"/>
          <w:lang w:val="ka-GE"/>
        </w:rPr>
        <w:t>275 687.8</w:t>
      </w:r>
      <w:r w:rsidRPr="002E45E5">
        <w:rPr>
          <w:rFonts w:ascii="Sylfaen" w:hAnsi="Sylfaen" w:cs="Sylfaen"/>
          <w:i/>
          <w:sz w:val="18"/>
          <w:szCs w:val="18"/>
        </w:rPr>
        <w:t xml:space="preserve"> </w:t>
      </w:r>
      <w:r w:rsidRPr="002E45E5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:rsidR="00F23336" w:rsidRPr="002E45E5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:rsidR="006B37E4" w:rsidRPr="002E45E5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2E45E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2E45E5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2E45E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:rsidR="00482B53" w:rsidRPr="002E45E5" w:rsidRDefault="00482B53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633"/>
        <w:gridCol w:w="2230"/>
        <w:gridCol w:w="2142"/>
        <w:gridCol w:w="1695"/>
      </w:tblGrid>
      <w:tr w:rsidR="00482B53" w:rsidRPr="002E45E5" w:rsidTr="002E45E5">
        <w:trPr>
          <w:trHeight w:val="548"/>
          <w:tblHeader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 w:rsidP="002E45E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 xml:space="preserve">6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br/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დაზუსტებული</w:t>
            </w:r>
            <w:proofErr w:type="spellEnd"/>
            <w:r w:rsid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გეგმა</w:t>
            </w:r>
            <w:proofErr w:type="spellEnd"/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 w:rsidP="002E45E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 xml:space="preserve">6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br/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ფაქტიური</w:t>
            </w:r>
            <w:proofErr w:type="spellEnd"/>
            <w:r w:rsid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შესრულება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შესრულება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%-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ში</w:t>
            </w:r>
            <w:proofErr w:type="spellEnd"/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5,585,408.5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5,762,755.3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103.2%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4,918,081.5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5,038,684.7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102.5%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33,100.0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44,512.7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134.5%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(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ნაშთის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გამოკლებით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)</w:t>
            </w: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47,354.3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114.1%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592,727.0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632,203.5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106.7%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6,020,065.8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5,935,505.0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98.6%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4,663,679.5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4,596,911.8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811,605.7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783,488.9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(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ნაშთის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გამოკლებით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)</w:t>
            </w: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95,150.0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105,478.6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110.9%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449,630.6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449,625.7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E45E5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482B53" w:rsidRPr="002E45E5" w:rsidTr="002E45E5">
        <w:trPr>
          <w:trHeight w:val="288"/>
        </w:trPr>
        <w:tc>
          <w:tcPr>
            <w:tcW w:w="2165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ნაშთის</w:t>
            </w:r>
            <w:proofErr w:type="spellEnd"/>
            <w:r w:rsidRPr="002E45E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E45E5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-434,657.3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-172,749.7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482B53" w:rsidRPr="002E45E5" w:rsidRDefault="00482B5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2E45E5">
              <w:rPr>
                <w:rFonts w:ascii="Sylfaen" w:hAnsi="Sylfaen" w:cs="Calibri"/>
                <w:sz w:val="18"/>
                <w:szCs w:val="18"/>
              </w:rPr>
              <w:t>39.7%</w:t>
            </w:r>
          </w:p>
        </w:tc>
      </w:tr>
    </w:tbl>
    <w:p w:rsidR="00482B53" w:rsidRPr="002E45E5" w:rsidRDefault="00482B53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82B53" w:rsidRPr="002E45E5" w:rsidRDefault="00482B53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2E45E5">
      <w:footerReference w:type="even" r:id="rId8"/>
      <w:footerReference w:type="default" r:id="rId9"/>
      <w:pgSz w:w="12240" w:h="15840"/>
      <w:pgMar w:top="450" w:right="720" w:bottom="81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4F" w:rsidRDefault="00E3784F">
      <w:r>
        <w:separator/>
      </w:r>
    </w:p>
  </w:endnote>
  <w:endnote w:type="continuationSeparator" w:id="0">
    <w:p w:rsidR="00E3784F" w:rsidRDefault="00E3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700F">
      <w:rPr>
        <w:noProof/>
      </w:rPr>
      <w:t>2</w:t>
    </w:r>
    <w:r>
      <w:rPr>
        <w:noProof/>
      </w:rPr>
      <w:fldChar w:fldCharType="end"/>
    </w:r>
  </w:p>
  <w:p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4F" w:rsidRDefault="00E3784F">
      <w:r>
        <w:separator/>
      </w:r>
    </w:p>
  </w:footnote>
  <w:footnote w:type="continuationSeparator" w:id="0">
    <w:p w:rsidR="00E3784F" w:rsidRDefault="00E3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09F7"/>
    <w:rsid w:val="00117CAF"/>
    <w:rsid w:val="001258E1"/>
    <w:rsid w:val="001322B1"/>
    <w:rsid w:val="00142817"/>
    <w:rsid w:val="00161181"/>
    <w:rsid w:val="00164AB5"/>
    <w:rsid w:val="00172D08"/>
    <w:rsid w:val="00177D45"/>
    <w:rsid w:val="00185F45"/>
    <w:rsid w:val="0018751E"/>
    <w:rsid w:val="001A5533"/>
    <w:rsid w:val="001B3125"/>
    <w:rsid w:val="001B62EE"/>
    <w:rsid w:val="001B75A1"/>
    <w:rsid w:val="001C64D6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6BE5"/>
    <w:rsid w:val="00287DF1"/>
    <w:rsid w:val="002B2E3C"/>
    <w:rsid w:val="002B78B1"/>
    <w:rsid w:val="002C3AF9"/>
    <w:rsid w:val="002C79A8"/>
    <w:rsid w:val="002D01DA"/>
    <w:rsid w:val="002E45E5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050F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7215B"/>
    <w:rsid w:val="0047670D"/>
    <w:rsid w:val="0047735E"/>
    <w:rsid w:val="004828F2"/>
    <w:rsid w:val="00482B53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741D1"/>
    <w:rsid w:val="005A700F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57FFA"/>
    <w:rsid w:val="0066141A"/>
    <w:rsid w:val="00671F58"/>
    <w:rsid w:val="0068240E"/>
    <w:rsid w:val="006845C5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166"/>
    <w:rsid w:val="007E26DD"/>
    <w:rsid w:val="007E6BC3"/>
    <w:rsid w:val="007F7646"/>
    <w:rsid w:val="00802D6B"/>
    <w:rsid w:val="00805F5E"/>
    <w:rsid w:val="008100A0"/>
    <w:rsid w:val="008114C8"/>
    <w:rsid w:val="00813C9B"/>
    <w:rsid w:val="00825EFE"/>
    <w:rsid w:val="00833B54"/>
    <w:rsid w:val="0083402E"/>
    <w:rsid w:val="00835DB9"/>
    <w:rsid w:val="008408C3"/>
    <w:rsid w:val="008430B2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A233FA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7212"/>
    <w:rsid w:val="00D71170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3784F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E33F8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2FCF-790A-4A02-BB41-E23574B2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8</cp:revision>
  <cp:lastPrinted>2019-04-23T07:12:00Z</cp:lastPrinted>
  <dcterms:created xsi:type="dcterms:W3CDTF">2019-07-18T09:38:00Z</dcterms:created>
  <dcterms:modified xsi:type="dcterms:W3CDTF">2019-07-26T11:52:00Z</dcterms:modified>
</cp:coreProperties>
</file>