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DA" w:rsidRPr="00946034" w:rsidRDefault="009931DA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თავი </w:t>
      </w:r>
      <w:r w:rsidRPr="00946034">
        <w:rPr>
          <w:rFonts w:ascii="Sylfaen" w:hAnsi="Sylfaen" w:cs="Sylfaen"/>
          <w:b/>
          <w:color w:val="000000"/>
          <w:sz w:val="22"/>
          <w:szCs w:val="22"/>
        </w:rPr>
        <w:t>II</w:t>
      </w:r>
    </w:p>
    <w:p w:rsidR="0045544E" w:rsidRPr="00946034" w:rsidRDefault="006642B0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201</w:t>
      </w:r>
      <w:r w:rsidR="006C0E75">
        <w:rPr>
          <w:rFonts w:ascii="Sylfaen" w:hAnsi="Sylfaen" w:cs="Sylfaen"/>
          <w:b/>
          <w:color w:val="000000"/>
          <w:sz w:val="22"/>
          <w:szCs w:val="22"/>
          <w:lang w:val="ka-GE"/>
        </w:rPr>
        <w:t>9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 იანვარ-ივნის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ის მაკროეკონომიკური მიმოხილვა</w:t>
      </w:r>
    </w:p>
    <w:p w:rsidR="0045544E" w:rsidRPr="00946034" w:rsidRDefault="0045544E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45544E" w:rsidRPr="00946034" w:rsidRDefault="0045544E" w:rsidP="00C86A2A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ეკონომიკური ზრდა</w:t>
      </w:r>
    </w:p>
    <w:p w:rsidR="0074413F" w:rsidRPr="00946034" w:rsidRDefault="0074413F" w:rsidP="0074413F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bookmarkStart w:id="0" w:name="_GoBack"/>
      <w:r w:rsidRPr="0074413F">
        <w:rPr>
          <w:rFonts w:ascii="Sylfaen" w:hAnsi="Sylfaen" w:cs="Sylfaen"/>
          <w:sz w:val="22"/>
          <w:szCs w:val="22"/>
          <w:lang w:val="ka-GE"/>
        </w:rPr>
        <w:t>საქართველოს სტატისტიკის ეროვნული სამსახურის წინასწარი მონაცემების მიხედვით, 2019 წლის პირველი ექვსი თვის მთლიანი შიდა პროდუქტის საშუალო რეალურმა ზრდამ, წინა წლის შესაბამის პერიოდთან 4.9 პროცენტი შეადგინა. აქედან, 2019 წლის I კვარტალის საშუალო რეალურმა ზრდამ 4.9 პროცენტი, ხოლო II კვარტალში 4.9 პროცენტი შეადგინა.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</w:p>
    <w:bookmarkEnd w:id="0"/>
    <w:p w:rsidR="006642B0" w:rsidRDefault="00353AFF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353AFF">
        <w:rPr>
          <w:rFonts w:ascii="Sylfaen" w:hAnsi="Sylfaen" w:cs="Sylfaen"/>
          <w:sz w:val="22"/>
          <w:szCs w:val="22"/>
          <w:lang w:val="ka-GE"/>
        </w:rPr>
        <w:t>2019 წლის პირველ კვარტალში ქვეყნის ეკონომიკურ ზრდაში მნიშვნელოვანი როლი სასტუმროები და რესტორნები, ტრანსპორტი, კვშირგაბმულობა და ოპერაციები უძრავი ქონებით, იჯარა და მომხმარებლისათვის მომსახურების გაწევას უჭირავს. ეკონომიკური ზრდის დარგობრივ სტრუქტურაში გაიზარდა: სასტუმროები და რესტორნები 13.1 პროცენტით, ტრანსპორტი 12.8 პროცენტით, კავშირგაბმულობა 12.3 პროცენტით, ოპერაციები უძრავი ქონებით, იჯარა და მომხმარებლისათვის მომსახურების გაწევა 11.1 პროცენტით, ვაჭრობა 6.7 პროცენტით, საფინანსო საქმიანობა 3.7 პროცენტით და სხვა.</w:t>
      </w:r>
    </w:p>
    <w:p w:rsidR="00353AFF" w:rsidRPr="00946034" w:rsidRDefault="00353AFF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C86A2A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:rsidR="0021120A" w:rsidRPr="00946034" w:rsidRDefault="0021120A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201</w:t>
      </w:r>
      <w:r w:rsidR="00EC4CDE">
        <w:rPr>
          <w:rFonts w:ascii="Sylfaen" w:hAnsi="Sylfaen" w:cs="Sylfaen"/>
          <w:sz w:val="22"/>
          <w:szCs w:val="22"/>
          <w:lang w:val="ka-GE"/>
        </w:rPr>
        <w:t>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წლის ივნისში საქართველოში ინფლაციის დონემ  წინა წლის შესაბამის თვესთან შედარებით (წლიური ინფლაცია)</w:t>
      </w:r>
      <w:r w:rsidR="008C5543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21D4">
        <w:rPr>
          <w:rFonts w:ascii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21D4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პროცენტი შეადგინა. </w:t>
      </w:r>
    </w:p>
    <w:p w:rsidR="0045544E" w:rsidRPr="00946034" w:rsidRDefault="0021120A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ჯგუფებზე: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521D4">
        <w:rPr>
          <w:rFonts w:ascii="Sylfaen" w:hAnsi="Sylfaen" w:cs="Sylfaen"/>
          <w:sz w:val="22"/>
          <w:szCs w:val="22"/>
          <w:lang w:val="ka-GE"/>
        </w:rPr>
        <w:t>სურსათი და უალკოჰოლო სასმელები: ფასები გაიზარდა 6.5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3521D4">
        <w:rPr>
          <w:rFonts w:ascii="Sylfaen" w:hAnsi="Sylfaen" w:cs="Sylfaen"/>
          <w:sz w:val="22"/>
          <w:szCs w:val="22"/>
          <w:lang w:val="ka-GE"/>
        </w:rPr>
        <w:t>1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21D4">
        <w:rPr>
          <w:rFonts w:ascii="Sylfaen" w:hAnsi="Sylfaen" w:cs="Sylfaen"/>
          <w:sz w:val="22"/>
          <w:szCs w:val="22"/>
          <w:lang w:val="ka-GE"/>
        </w:rPr>
        <w:t>94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აისახა; </w:t>
      </w:r>
      <w:r w:rsidR="003521D4">
        <w:rPr>
          <w:rFonts w:ascii="Sylfaen" w:hAnsi="Sylfaen" w:cs="Sylfaen"/>
          <w:sz w:val="22"/>
          <w:szCs w:val="22"/>
          <w:lang w:val="ka-GE"/>
        </w:rPr>
        <w:t>ალკოჰოლური სასმელები, თამბაქო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: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ფასები გაიზარდა </w:t>
      </w:r>
      <w:r w:rsidR="003521D4">
        <w:rPr>
          <w:rFonts w:ascii="Sylfaen" w:hAnsi="Sylfaen" w:cs="Sylfaen"/>
          <w:sz w:val="22"/>
          <w:szCs w:val="22"/>
          <w:lang w:val="ka-GE"/>
        </w:rPr>
        <w:t>20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21D4">
        <w:rPr>
          <w:rFonts w:ascii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3521D4">
        <w:rPr>
          <w:rFonts w:ascii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21D4">
        <w:rPr>
          <w:rFonts w:ascii="Sylfaen" w:hAnsi="Sylfaen" w:cs="Sylfaen"/>
          <w:sz w:val="22"/>
          <w:szCs w:val="22"/>
          <w:lang w:val="ka-GE"/>
        </w:rPr>
        <w:t>3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; </w:t>
      </w:r>
      <w:r w:rsidR="003521D4">
        <w:rPr>
          <w:rFonts w:ascii="Sylfaen" w:hAnsi="Sylfaen" w:cs="Sylfaen"/>
          <w:sz w:val="22"/>
          <w:szCs w:val="22"/>
          <w:lang w:val="ka-GE"/>
        </w:rPr>
        <w:t>ტრანსპორტი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3521D4">
        <w:rPr>
          <w:rFonts w:ascii="Sylfaen" w:hAnsi="Sylfaen" w:cs="Sylfaen"/>
          <w:sz w:val="22"/>
          <w:szCs w:val="22"/>
          <w:lang w:val="ka-GE"/>
        </w:rPr>
        <w:t>3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21D4">
        <w:rPr>
          <w:rFonts w:ascii="Sylfaen" w:hAnsi="Sylfaen" w:cs="Sylfaen"/>
          <w:sz w:val="22"/>
          <w:szCs w:val="22"/>
          <w:lang w:val="ka-GE"/>
        </w:rPr>
        <w:t>2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 xml:space="preserve">%-ით, რაც 0.4 პროცენტული პუნქტით აისახა; </w:t>
      </w:r>
      <w:r w:rsidR="003521D4">
        <w:rPr>
          <w:rFonts w:ascii="Sylfaen" w:hAnsi="Sylfaen" w:cs="Sylfaen"/>
          <w:sz w:val="22"/>
          <w:szCs w:val="22"/>
          <w:lang w:val="ka-GE"/>
        </w:rPr>
        <w:t>დასვენება, გართობა და კულტურა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: ფასები გაიზარდა </w:t>
      </w:r>
      <w:r w:rsidR="003521D4">
        <w:rPr>
          <w:rFonts w:ascii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21D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%-ით, რაც ინფლაციის მთლიან მაჩვენებელზე </w:t>
      </w:r>
      <w:r w:rsidR="00EF4301" w:rsidRPr="00946034">
        <w:rPr>
          <w:rFonts w:ascii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hAnsi="Sylfaen" w:cs="Sylfaen"/>
          <w:sz w:val="22"/>
          <w:szCs w:val="22"/>
          <w:lang w:val="ka-GE"/>
        </w:rPr>
        <w:t>.</w:t>
      </w:r>
      <w:r w:rsidR="003521D4">
        <w:rPr>
          <w:rFonts w:ascii="Sylfaen" w:hAnsi="Sylfaen" w:cs="Sylfaen"/>
          <w:sz w:val="22"/>
          <w:szCs w:val="22"/>
          <w:lang w:val="ka-GE"/>
        </w:rPr>
        <w:t>29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აისახა.</w:t>
      </w:r>
    </w:p>
    <w:p w:rsidR="0021120A" w:rsidRPr="00946034" w:rsidRDefault="0021120A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C86A2A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:rsidR="0045544E" w:rsidRPr="00946034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0B3BF0">
        <w:rPr>
          <w:rFonts w:ascii="Sylfaen" w:hAnsi="Sylfaen" w:cs="Sylfaen"/>
          <w:sz w:val="22"/>
          <w:szCs w:val="22"/>
          <w:lang w:val="ka-GE"/>
        </w:rPr>
        <w:t>201</w:t>
      </w:r>
      <w:r w:rsidR="000B3BF0" w:rsidRPr="000B3BF0">
        <w:rPr>
          <w:rFonts w:ascii="Sylfaen" w:hAnsi="Sylfaen" w:cs="Sylfaen"/>
          <w:sz w:val="22"/>
          <w:szCs w:val="22"/>
          <w:lang w:val="ka-GE"/>
        </w:rPr>
        <w:t>9</w:t>
      </w:r>
      <w:r w:rsidRPr="000B3BF0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A44FD0" w:rsidRPr="000B3BF0">
        <w:rPr>
          <w:rFonts w:ascii="Sylfaen" w:hAnsi="Sylfaen" w:cs="Sylfaen"/>
          <w:sz w:val="22"/>
          <w:szCs w:val="22"/>
          <w:lang w:val="ka-GE"/>
        </w:rPr>
        <w:t>ივნისში</w:t>
      </w:r>
      <w:r w:rsidRPr="000B3BF0">
        <w:rPr>
          <w:rFonts w:ascii="Sylfaen" w:hAnsi="Sylfaen" w:cs="Sylfaen"/>
          <w:sz w:val="22"/>
          <w:szCs w:val="22"/>
          <w:lang w:val="ka-GE"/>
        </w:rPr>
        <w:t xml:space="preserve"> 201</w:t>
      </w:r>
      <w:r w:rsidR="000B3BF0" w:rsidRPr="000B3BF0">
        <w:rPr>
          <w:rFonts w:ascii="Sylfaen" w:hAnsi="Sylfaen" w:cs="Sylfaen"/>
          <w:sz w:val="22"/>
          <w:szCs w:val="22"/>
          <w:lang w:val="ka-GE"/>
        </w:rPr>
        <w:t>8</w:t>
      </w:r>
      <w:r w:rsidRPr="000B3BF0">
        <w:rPr>
          <w:rFonts w:ascii="Sylfaen" w:hAnsi="Sylfaen" w:cs="Sylfaen"/>
          <w:sz w:val="22"/>
          <w:szCs w:val="22"/>
          <w:lang w:val="ka-GE"/>
        </w:rPr>
        <w:t xml:space="preserve"> წლის დეკემბერთან შედარებით ლარის გაცვლითი კურსი აშშ  დოლარის მიმართ </w:t>
      </w:r>
      <w:r w:rsidR="000B3BF0" w:rsidRPr="000B3BF0">
        <w:rPr>
          <w:rFonts w:ascii="Sylfaen" w:hAnsi="Sylfaen" w:cs="Sylfaen"/>
          <w:sz w:val="22"/>
          <w:szCs w:val="22"/>
          <w:lang w:val="ka-GE"/>
        </w:rPr>
        <w:t>7</w:t>
      </w:r>
      <w:r w:rsidR="00FF15E5" w:rsidRPr="000B3BF0">
        <w:rPr>
          <w:rFonts w:ascii="Sylfaen" w:hAnsi="Sylfaen" w:cs="Sylfaen"/>
          <w:sz w:val="22"/>
          <w:szCs w:val="22"/>
          <w:lang w:val="en-US"/>
        </w:rPr>
        <w:t>.</w:t>
      </w:r>
      <w:r w:rsidR="000B3BF0" w:rsidRPr="000B3BF0">
        <w:rPr>
          <w:rFonts w:ascii="Sylfaen" w:hAnsi="Sylfaen" w:cs="Sylfaen"/>
          <w:sz w:val="22"/>
          <w:szCs w:val="22"/>
          <w:lang w:val="ka-GE"/>
        </w:rPr>
        <w:t>2</w:t>
      </w:r>
      <w:r w:rsidRPr="000B3BF0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0B3BF0" w:rsidRPr="000B3BF0">
        <w:rPr>
          <w:rFonts w:ascii="Sylfaen" w:hAnsi="Sylfaen" w:cs="Sylfaen"/>
          <w:sz w:val="22"/>
          <w:szCs w:val="22"/>
          <w:lang w:val="ka-GE"/>
        </w:rPr>
        <w:t>უფასუ</w:t>
      </w:r>
      <w:r w:rsidRPr="000B3BF0">
        <w:rPr>
          <w:rFonts w:ascii="Sylfaen" w:hAnsi="Sylfaen" w:cs="Sylfaen"/>
          <w:sz w:val="22"/>
          <w:szCs w:val="22"/>
          <w:lang w:val="ka-GE"/>
        </w:rPr>
        <w:t>რდა და 2.</w:t>
      </w:r>
      <w:r w:rsidR="000B3BF0" w:rsidRPr="000B3BF0">
        <w:rPr>
          <w:rFonts w:ascii="Sylfaen" w:hAnsi="Sylfaen" w:cs="Sylfaen"/>
          <w:sz w:val="22"/>
          <w:szCs w:val="22"/>
          <w:lang w:val="ka-GE"/>
        </w:rPr>
        <w:t>87</w:t>
      </w:r>
      <w:r w:rsidRPr="000B3BF0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დოლარზე. ლარის ნომინალური ეფექტური გაცვლითი კურსი, რაც წარმოადგენს ლარის საშუალო კურსს სავაჭრო პარტნიორების </w:t>
      </w:r>
      <w:r w:rsidR="00A2546C" w:rsidRPr="000B3BF0">
        <w:rPr>
          <w:rFonts w:ascii="Sylfaen" w:hAnsi="Sylfaen" w:cs="Sylfaen"/>
          <w:sz w:val="22"/>
          <w:szCs w:val="22"/>
          <w:lang w:val="ka-GE"/>
        </w:rPr>
        <w:t xml:space="preserve">გაცვლით </w:t>
      </w:r>
      <w:r w:rsidRPr="000B3BF0">
        <w:rPr>
          <w:rFonts w:ascii="Sylfaen" w:hAnsi="Sylfaen" w:cs="Sylfaen"/>
          <w:sz w:val="22"/>
          <w:szCs w:val="22"/>
          <w:lang w:val="ka-GE"/>
        </w:rPr>
        <w:t>კურს</w:t>
      </w:r>
      <w:r w:rsidR="00A2546C" w:rsidRPr="000B3BF0">
        <w:rPr>
          <w:rFonts w:ascii="Sylfaen" w:hAnsi="Sylfaen" w:cs="Sylfaen"/>
          <w:sz w:val="22"/>
          <w:szCs w:val="22"/>
          <w:lang w:val="ka-GE"/>
        </w:rPr>
        <w:t>ებ</w:t>
      </w:r>
      <w:r w:rsidRPr="000B3BF0">
        <w:rPr>
          <w:rFonts w:ascii="Sylfaen" w:hAnsi="Sylfaen" w:cs="Sylfaen"/>
          <w:sz w:val="22"/>
          <w:szCs w:val="22"/>
          <w:lang w:val="ka-GE"/>
        </w:rPr>
        <w:t>თან, გა</w:t>
      </w:r>
      <w:r w:rsidR="000B3BF0">
        <w:rPr>
          <w:rFonts w:ascii="Sylfaen" w:hAnsi="Sylfaen" w:cs="Sylfaen"/>
          <w:sz w:val="22"/>
          <w:szCs w:val="22"/>
          <w:lang w:val="ka-GE"/>
        </w:rPr>
        <w:t>უფასუ</w:t>
      </w:r>
      <w:r w:rsidR="00CD1EDB" w:rsidRPr="000B3BF0">
        <w:rPr>
          <w:rFonts w:ascii="Sylfaen" w:hAnsi="Sylfaen" w:cs="Sylfaen"/>
          <w:sz w:val="22"/>
          <w:szCs w:val="22"/>
          <w:lang w:val="ka-GE"/>
        </w:rPr>
        <w:t>რ</w:t>
      </w:r>
      <w:r w:rsidRPr="000B3BF0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0B3BF0">
        <w:rPr>
          <w:rFonts w:ascii="Sylfaen" w:hAnsi="Sylfaen" w:cs="Sylfaen"/>
          <w:sz w:val="22"/>
          <w:szCs w:val="22"/>
          <w:lang w:val="ka-GE"/>
        </w:rPr>
        <w:t>3</w:t>
      </w:r>
      <w:r w:rsidRPr="000B3BF0">
        <w:rPr>
          <w:rFonts w:ascii="Sylfaen" w:hAnsi="Sylfaen" w:cs="Sylfaen"/>
          <w:sz w:val="22"/>
          <w:szCs w:val="22"/>
          <w:lang w:val="ka-GE"/>
        </w:rPr>
        <w:t>.</w:t>
      </w:r>
      <w:r w:rsidR="000B3BF0">
        <w:rPr>
          <w:rFonts w:ascii="Sylfaen" w:hAnsi="Sylfaen" w:cs="Sylfaen"/>
          <w:sz w:val="22"/>
          <w:szCs w:val="22"/>
          <w:lang w:val="ka-GE"/>
        </w:rPr>
        <w:t>2</w:t>
      </w:r>
      <w:r w:rsidRPr="000B3BF0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</w:p>
    <w:p w:rsidR="0045544E" w:rsidRPr="00946034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45544E" w:rsidP="00C86A2A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:rsidR="0045544E" w:rsidRPr="00EB6A51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B6A51">
        <w:rPr>
          <w:rFonts w:ascii="Sylfaen" w:hAnsi="Sylfaen" w:cs="Sylfaen"/>
          <w:sz w:val="22"/>
          <w:szCs w:val="22"/>
          <w:lang w:val="ka-GE"/>
        </w:rPr>
        <w:t>201</w:t>
      </w:r>
      <w:r w:rsidR="00EB6A51">
        <w:rPr>
          <w:rFonts w:ascii="Sylfaen" w:hAnsi="Sylfaen" w:cs="Sylfaen"/>
          <w:sz w:val="22"/>
          <w:szCs w:val="22"/>
          <w:lang w:val="ka-GE"/>
        </w:rPr>
        <w:t>9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3A05FB" w:rsidRPr="00EB6A51">
        <w:rPr>
          <w:rFonts w:ascii="Sylfaen" w:hAnsi="Sylfaen" w:cs="Sylfaen"/>
          <w:sz w:val="22"/>
          <w:szCs w:val="22"/>
          <w:lang w:val="ka-GE"/>
        </w:rPr>
        <w:t>ივნის</w:t>
      </w:r>
      <w:r w:rsidRPr="00EB6A51">
        <w:rPr>
          <w:rFonts w:ascii="Sylfaen" w:hAnsi="Sylfaen" w:cs="Sylfaen"/>
          <w:sz w:val="22"/>
          <w:szCs w:val="22"/>
          <w:lang w:val="ka-GE"/>
        </w:rPr>
        <w:t>ში 201</w:t>
      </w:r>
      <w:r w:rsidR="00EB6A51">
        <w:rPr>
          <w:rFonts w:ascii="Sylfaen" w:hAnsi="Sylfaen" w:cs="Sylfaen"/>
          <w:sz w:val="22"/>
          <w:szCs w:val="22"/>
          <w:lang w:val="ka-GE"/>
        </w:rPr>
        <w:t>8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3A05FB" w:rsidRPr="00EB6A51">
        <w:rPr>
          <w:rFonts w:ascii="Sylfaen" w:hAnsi="Sylfaen" w:cs="Sylfaen"/>
          <w:sz w:val="22"/>
          <w:szCs w:val="22"/>
          <w:lang w:val="ka-GE"/>
        </w:rPr>
        <w:t>ივნის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თან შედარებით M3 ფართო ფულის აგრეგატი </w:t>
      </w:r>
      <w:r w:rsidR="00EB6A51">
        <w:rPr>
          <w:rFonts w:ascii="Sylfaen" w:hAnsi="Sylfaen" w:cs="Sylfaen"/>
          <w:sz w:val="22"/>
          <w:szCs w:val="22"/>
          <w:lang w:val="ka-GE"/>
        </w:rPr>
        <w:t>25</w:t>
      </w:r>
      <w:r w:rsidRPr="00EB6A51">
        <w:rPr>
          <w:rFonts w:ascii="Sylfaen" w:hAnsi="Sylfaen" w:cs="Sylfaen"/>
          <w:sz w:val="22"/>
          <w:szCs w:val="22"/>
          <w:lang w:val="ka-GE"/>
        </w:rPr>
        <w:t>.</w:t>
      </w:r>
      <w:r w:rsidR="00EB6A51">
        <w:rPr>
          <w:rFonts w:ascii="Sylfaen" w:hAnsi="Sylfaen" w:cs="Sylfaen"/>
          <w:sz w:val="22"/>
          <w:szCs w:val="22"/>
          <w:lang w:val="ka-GE"/>
        </w:rPr>
        <w:t>0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EB6A51">
        <w:rPr>
          <w:rFonts w:ascii="Sylfaen" w:hAnsi="Sylfaen" w:cs="Sylfaen"/>
          <w:sz w:val="22"/>
          <w:szCs w:val="22"/>
          <w:lang w:val="ka-GE"/>
        </w:rPr>
        <w:t>22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B6A51">
        <w:rPr>
          <w:rFonts w:ascii="Sylfaen" w:hAnsi="Sylfaen" w:cs="Sylfaen"/>
          <w:sz w:val="22"/>
          <w:szCs w:val="22"/>
          <w:lang w:val="ka-GE"/>
        </w:rPr>
        <w:t>604</w:t>
      </w:r>
      <w:r w:rsidRPr="00EB6A51">
        <w:rPr>
          <w:rFonts w:ascii="Sylfaen" w:hAnsi="Sylfaen" w:cs="Sylfaen"/>
          <w:sz w:val="22"/>
          <w:szCs w:val="22"/>
          <w:lang w:val="ka-GE"/>
        </w:rPr>
        <w:t>.</w:t>
      </w:r>
      <w:r w:rsidR="00EB6A51">
        <w:rPr>
          <w:rFonts w:ascii="Sylfaen" w:hAnsi="Sylfaen" w:cs="Sylfaen"/>
          <w:sz w:val="22"/>
          <w:szCs w:val="22"/>
          <w:lang w:val="ka-GE"/>
        </w:rPr>
        <w:t>3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0A339D" w:rsidRPr="00EB6A51">
        <w:rPr>
          <w:rFonts w:ascii="Sylfaen" w:hAnsi="Sylfaen" w:cs="Sylfaen"/>
          <w:sz w:val="22"/>
          <w:szCs w:val="22"/>
          <w:lang w:val="ka-GE"/>
        </w:rPr>
        <w:t>2</w:t>
      </w:r>
      <w:r w:rsidR="009E05C9" w:rsidRPr="00EB6A51">
        <w:rPr>
          <w:rFonts w:ascii="Sylfaen" w:hAnsi="Sylfaen" w:cs="Sylfaen"/>
          <w:sz w:val="22"/>
          <w:szCs w:val="22"/>
          <w:lang w:val="ka-GE"/>
        </w:rPr>
        <w:t>4</w:t>
      </w:r>
      <w:r w:rsidRPr="00EB6A51">
        <w:rPr>
          <w:rFonts w:ascii="Sylfaen" w:hAnsi="Sylfaen" w:cs="Sylfaen"/>
          <w:sz w:val="22"/>
          <w:szCs w:val="22"/>
          <w:lang w:val="ka-GE"/>
        </w:rPr>
        <w:t>.</w:t>
      </w:r>
      <w:r w:rsidR="00EB6A51">
        <w:rPr>
          <w:rFonts w:ascii="Sylfaen" w:hAnsi="Sylfaen" w:cs="Sylfaen"/>
          <w:sz w:val="22"/>
          <w:szCs w:val="22"/>
          <w:lang w:val="ka-GE"/>
        </w:rPr>
        <w:t>7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E625E8" w:rsidRPr="00EB6A51">
        <w:rPr>
          <w:rFonts w:ascii="Sylfaen" w:hAnsi="Sylfaen" w:cs="Sylfaen"/>
          <w:sz w:val="22"/>
          <w:szCs w:val="22"/>
          <w:lang w:val="ka-GE"/>
        </w:rPr>
        <w:t>გაიზარ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და და </w:t>
      </w:r>
      <w:r w:rsidR="00EB6A51">
        <w:rPr>
          <w:rFonts w:ascii="Sylfaen" w:hAnsi="Sylfaen" w:cs="Sylfaen"/>
          <w:sz w:val="22"/>
          <w:szCs w:val="22"/>
          <w:lang w:val="ka-GE"/>
        </w:rPr>
        <w:t>10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B6A51">
        <w:rPr>
          <w:rFonts w:ascii="Sylfaen" w:hAnsi="Sylfaen" w:cs="Sylfaen"/>
          <w:sz w:val="22"/>
          <w:szCs w:val="22"/>
          <w:lang w:val="ka-GE"/>
        </w:rPr>
        <w:t>719</w:t>
      </w:r>
      <w:r w:rsidRPr="00EB6A51">
        <w:rPr>
          <w:rFonts w:ascii="Sylfaen" w:hAnsi="Sylfaen" w:cs="Sylfaen"/>
          <w:sz w:val="22"/>
          <w:szCs w:val="22"/>
          <w:lang w:val="ka-GE"/>
        </w:rPr>
        <w:t>.</w:t>
      </w:r>
      <w:r w:rsidR="00EB6A51">
        <w:rPr>
          <w:rFonts w:ascii="Sylfaen" w:hAnsi="Sylfaen" w:cs="Sylfaen"/>
          <w:sz w:val="22"/>
          <w:szCs w:val="22"/>
          <w:lang w:val="ka-GE"/>
        </w:rPr>
        <w:t>6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 </w:t>
      </w:r>
    </w:p>
    <w:p w:rsidR="0045544E" w:rsidRPr="00EB6A51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B6A51">
        <w:rPr>
          <w:rFonts w:ascii="Sylfaen" w:hAnsi="Sylfaen" w:cs="Sylfaen"/>
          <w:sz w:val="22"/>
          <w:szCs w:val="22"/>
          <w:lang w:val="ka-GE"/>
        </w:rPr>
        <w:t>201</w:t>
      </w:r>
      <w:r w:rsidR="00EB6A51">
        <w:rPr>
          <w:rFonts w:ascii="Sylfaen" w:hAnsi="Sylfaen" w:cs="Sylfaen"/>
          <w:sz w:val="22"/>
          <w:szCs w:val="22"/>
          <w:lang w:val="ka-GE"/>
        </w:rPr>
        <w:t>9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1512E0" w:rsidRPr="00EB6A51">
        <w:rPr>
          <w:rFonts w:ascii="Sylfaen" w:hAnsi="Sylfaen" w:cs="Sylfaen"/>
          <w:sz w:val="22"/>
          <w:szCs w:val="22"/>
          <w:lang w:val="ka-GE"/>
        </w:rPr>
        <w:t>ივნის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ში მთლიანი დეპოზიტები </w:t>
      </w:r>
      <w:r w:rsidR="00EB6A51">
        <w:rPr>
          <w:rFonts w:ascii="Sylfaen" w:hAnsi="Sylfaen" w:cs="Sylfaen"/>
          <w:sz w:val="22"/>
          <w:szCs w:val="22"/>
          <w:lang w:val="ka-GE"/>
        </w:rPr>
        <w:t>25</w:t>
      </w:r>
      <w:r w:rsidRPr="00EB6A51">
        <w:rPr>
          <w:rFonts w:ascii="Sylfaen" w:hAnsi="Sylfaen" w:cs="Sylfaen"/>
          <w:sz w:val="22"/>
          <w:szCs w:val="22"/>
          <w:lang w:val="ka-GE"/>
        </w:rPr>
        <w:t>.</w:t>
      </w:r>
      <w:r w:rsidR="00EB6A51">
        <w:rPr>
          <w:rFonts w:ascii="Sylfaen" w:hAnsi="Sylfaen" w:cs="Sylfaen"/>
          <w:sz w:val="22"/>
          <w:szCs w:val="22"/>
          <w:lang w:val="ka-GE"/>
        </w:rPr>
        <w:t>5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გაიზარდა, მათ შორის დეპოზიტები ეროვნულ ვალუტაში </w:t>
      </w:r>
      <w:r w:rsidR="00EB6A51">
        <w:rPr>
          <w:rFonts w:ascii="Sylfaen" w:hAnsi="Sylfaen" w:cs="Sylfaen"/>
          <w:sz w:val="22"/>
          <w:szCs w:val="22"/>
          <w:lang w:val="ka-GE"/>
        </w:rPr>
        <w:t>25</w:t>
      </w:r>
      <w:r w:rsidRPr="00EB6A51">
        <w:rPr>
          <w:rFonts w:ascii="Sylfaen" w:hAnsi="Sylfaen" w:cs="Sylfaen"/>
          <w:sz w:val="22"/>
          <w:szCs w:val="22"/>
          <w:lang w:val="ka-GE"/>
        </w:rPr>
        <w:t>.</w:t>
      </w:r>
      <w:r w:rsidR="00EB6A51">
        <w:rPr>
          <w:rFonts w:ascii="Sylfaen" w:hAnsi="Sylfaen" w:cs="Sylfaen"/>
          <w:sz w:val="22"/>
          <w:szCs w:val="22"/>
          <w:lang w:val="ka-GE"/>
        </w:rPr>
        <w:t>8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პროცენტით, ხოლო დეპოზიტები უცხოურ ვალუტაში </w:t>
      </w:r>
      <w:r w:rsidR="00EB6A51">
        <w:rPr>
          <w:rFonts w:ascii="Sylfaen" w:hAnsi="Sylfaen" w:cs="Sylfaen"/>
          <w:sz w:val="22"/>
          <w:szCs w:val="22"/>
          <w:lang w:val="ka-GE"/>
        </w:rPr>
        <w:t>25</w:t>
      </w:r>
      <w:r w:rsidRPr="00EB6A51">
        <w:rPr>
          <w:rFonts w:ascii="Sylfaen" w:hAnsi="Sylfaen" w:cs="Sylfaen"/>
          <w:sz w:val="22"/>
          <w:szCs w:val="22"/>
          <w:lang w:val="ka-GE"/>
        </w:rPr>
        <w:t>.</w:t>
      </w:r>
      <w:r w:rsidR="00EB6A51">
        <w:rPr>
          <w:rFonts w:ascii="Sylfaen" w:hAnsi="Sylfaen" w:cs="Sylfaen"/>
          <w:sz w:val="22"/>
          <w:szCs w:val="22"/>
          <w:lang w:val="ka-GE"/>
        </w:rPr>
        <w:t>3</w:t>
      </w:r>
      <w:r w:rsidRPr="00EB6A51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გაიზარდა. </w:t>
      </w:r>
    </w:p>
    <w:p w:rsidR="0045544E" w:rsidRPr="00946034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E6EF6">
        <w:rPr>
          <w:rFonts w:ascii="Sylfaen" w:hAnsi="Sylfaen" w:cs="Sylfaen"/>
          <w:sz w:val="22"/>
          <w:szCs w:val="22"/>
          <w:lang w:val="ka-GE"/>
        </w:rPr>
        <w:t>201</w:t>
      </w:r>
      <w:r w:rsidR="00EB6A51" w:rsidRPr="00BE6EF6">
        <w:rPr>
          <w:rFonts w:ascii="Sylfaen" w:hAnsi="Sylfaen" w:cs="Sylfaen"/>
          <w:sz w:val="22"/>
          <w:szCs w:val="22"/>
          <w:lang w:val="ka-GE"/>
        </w:rPr>
        <w:t>9</w:t>
      </w:r>
      <w:r w:rsidRPr="00BE6EF6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1512E0" w:rsidRPr="00BE6EF6">
        <w:rPr>
          <w:rFonts w:ascii="Sylfaen" w:hAnsi="Sylfaen" w:cs="Sylfaen"/>
          <w:sz w:val="22"/>
          <w:szCs w:val="22"/>
          <w:lang w:val="ka-GE"/>
        </w:rPr>
        <w:t>ივნის</w:t>
      </w:r>
      <w:r w:rsidRPr="00BE6EF6">
        <w:rPr>
          <w:rFonts w:ascii="Sylfaen" w:hAnsi="Sylfaen" w:cs="Sylfaen"/>
          <w:sz w:val="22"/>
          <w:szCs w:val="22"/>
          <w:lang w:val="ka-GE"/>
        </w:rPr>
        <w:t xml:space="preserve">ში, წინა წლის დეკემბერთან შედარებით დოლარიზაციის კოეფიციენტი </w:t>
      </w:r>
      <w:r w:rsidR="00BE6EF6">
        <w:rPr>
          <w:rFonts w:ascii="Sylfaen" w:hAnsi="Sylfaen" w:cs="Sylfaen"/>
          <w:sz w:val="22"/>
          <w:szCs w:val="22"/>
          <w:lang w:val="en-US"/>
        </w:rPr>
        <w:t>1</w:t>
      </w:r>
      <w:r w:rsidRPr="00BE6EF6">
        <w:rPr>
          <w:rFonts w:ascii="Sylfaen" w:hAnsi="Sylfaen" w:cs="Sylfaen"/>
          <w:sz w:val="22"/>
          <w:szCs w:val="22"/>
          <w:lang w:val="ka-GE"/>
        </w:rPr>
        <w:t>.</w:t>
      </w:r>
      <w:r w:rsidR="00BE6EF6">
        <w:rPr>
          <w:rFonts w:ascii="Sylfaen" w:hAnsi="Sylfaen" w:cs="Sylfaen"/>
          <w:sz w:val="22"/>
          <w:szCs w:val="22"/>
          <w:lang w:val="ka-GE"/>
        </w:rPr>
        <w:t>2</w:t>
      </w:r>
      <w:r w:rsidRPr="00BE6EF6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446EBB" w:rsidRPr="00BE6EF6">
        <w:rPr>
          <w:rFonts w:ascii="Sylfaen" w:hAnsi="Sylfaen" w:cs="Sylfaen"/>
          <w:sz w:val="22"/>
          <w:szCs w:val="22"/>
          <w:lang w:val="ka-GE"/>
        </w:rPr>
        <w:t>შემცირდა</w:t>
      </w:r>
      <w:r w:rsidRPr="00BE6EF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46EBB" w:rsidRPr="00BE6EF6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Pr="00BE6EF6">
        <w:rPr>
          <w:rFonts w:ascii="Sylfaen" w:hAnsi="Sylfaen" w:cs="Sylfaen"/>
          <w:sz w:val="22"/>
          <w:szCs w:val="22"/>
          <w:lang w:val="ka-GE"/>
        </w:rPr>
        <w:t>6</w:t>
      </w:r>
      <w:r w:rsidR="00BE6EF6">
        <w:rPr>
          <w:rFonts w:ascii="Sylfaen" w:hAnsi="Sylfaen" w:cs="Sylfaen"/>
          <w:sz w:val="22"/>
          <w:szCs w:val="22"/>
          <w:lang w:val="ka-GE"/>
        </w:rPr>
        <w:t>0</w:t>
      </w:r>
      <w:r w:rsidRPr="00BE6EF6">
        <w:rPr>
          <w:rFonts w:ascii="Sylfaen" w:hAnsi="Sylfaen" w:cs="Sylfaen"/>
          <w:sz w:val="22"/>
          <w:szCs w:val="22"/>
          <w:lang w:val="ka-GE"/>
        </w:rPr>
        <w:t>.</w:t>
      </w:r>
      <w:r w:rsidR="00BE6EF6">
        <w:rPr>
          <w:rFonts w:ascii="Sylfaen" w:hAnsi="Sylfaen" w:cs="Sylfaen"/>
          <w:sz w:val="22"/>
          <w:szCs w:val="22"/>
          <w:lang w:val="ka-GE"/>
        </w:rPr>
        <w:t>9</w:t>
      </w:r>
      <w:r w:rsidRPr="00BE6EF6">
        <w:rPr>
          <w:rFonts w:ascii="Sylfaen" w:hAnsi="Sylfaen" w:cs="Sylfaen"/>
          <w:sz w:val="22"/>
          <w:szCs w:val="22"/>
          <w:lang w:val="ka-GE"/>
        </w:rPr>
        <w:t xml:space="preserve"> პროცენტს გაუტოლდა. </w:t>
      </w:r>
      <w:r w:rsidRPr="00400E50">
        <w:rPr>
          <w:rFonts w:ascii="Sylfaen" w:hAnsi="Sylfaen" w:cs="Sylfaen"/>
          <w:sz w:val="22"/>
          <w:szCs w:val="22"/>
          <w:lang w:val="ka-GE"/>
        </w:rPr>
        <w:t xml:space="preserve">ამავე პერიოდში </w:t>
      </w:r>
      <w:r w:rsidR="00400E50" w:rsidRPr="00400E50">
        <w:rPr>
          <w:rFonts w:ascii="Sylfaen" w:hAnsi="Sylfaen" w:cs="Sylfaen"/>
          <w:sz w:val="22"/>
          <w:szCs w:val="22"/>
          <w:lang w:val="ka-GE"/>
        </w:rPr>
        <w:t>0</w:t>
      </w:r>
      <w:r w:rsidRPr="00400E50">
        <w:rPr>
          <w:rFonts w:ascii="Sylfaen" w:hAnsi="Sylfaen" w:cs="Sylfaen"/>
          <w:sz w:val="22"/>
          <w:szCs w:val="22"/>
          <w:lang w:val="ka-GE"/>
        </w:rPr>
        <w:t>.</w:t>
      </w:r>
      <w:r w:rsidR="00400E50" w:rsidRPr="00400E50">
        <w:rPr>
          <w:rFonts w:ascii="Sylfaen" w:hAnsi="Sylfaen" w:cs="Sylfaen"/>
          <w:sz w:val="22"/>
          <w:szCs w:val="22"/>
          <w:lang w:val="ka-GE"/>
        </w:rPr>
        <w:t>2</w:t>
      </w:r>
      <w:r w:rsidRPr="00400E50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446EBB" w:rsidRPr="00400E50">
        <w:rPr>
          <w:rFonts w:ascii="Sylfaen" w:hAnsi="Sylfaen" w:cs="Sylfaen"/>
          <w:sz w:val="22"/>
          <w:szCs w:val="22"/>
          <w:lang w:val="ka-GE"/>
        </w:rPr>
        <w:t>შემცირ</w:t>
      </w:r>
      <w:r w:rsidRPr="00400E50">
        <w:rPr>
          <w:rFonts w:ascii="Sylfaen" w:hAnsi="Sylfaen" w:cs="Sylfaen"/>
          <w:sz w:val="22"/>
          <w:szCs w:val="22"/>
          <w:lang w:val="ka-GE"/>
        </w:rPr>
        <w:t xml:space="preserve">და სესხების დოლარიზაციის კოეფიციენტი და </w:t>
      </w:r>
      <w:r w:rsidR="00576460" w:rsidRPr="00400E50">
        <w:rPr>
          <w:rFonts w:ascii="Sylfaen" w:hAnsi="Sylfaen" w:cs="Sylfaen"/>
          <w:sz w:val="22"/>
          <w:szCs w:val="22"/>
          <w:lang w:val="ka-GE"/>
        </w:rPr>
        <w:t>5</w:t>
      </w:r>
      <w:r w:rsidR="00400E50" w:rsidRPr="00400E50">
        <w:rPr>
          <w:rFonts w:ascii="Sylfaen" w:hAnsi="Sylfaen" w:cs="Sylfaen"/>
          <w:sz w:val="22"/>
          <w:szCs w:val="22"/>
          <w:lang w:val="ka-GE"/>
        </w:rPr>
        <w:t>6</w:t>
      </w:r>
      <w:r w:rsidRPr="00400E50">
        <w:rPr>
          <w:rFonts w:ascii="Sylfaen" w:hAnsi="Sylfaen" w:cs="Sylfaen"/>
          <w:sz w:val="22"/>
          <w:szCs w:val="22"/>
          <w:lang w:val="ka-GE"/>
        </w:rPr>
        <w:t>.</w:t>
      </w:r>
      <w:r w:rsidR="00400E50" w:rsidRPr="00400E50">
        <w:rPr>
          <w:rFonts w:ascii="Sylfaen" w:hAnsi="Sylfaen" w:cs="Sylfaen"/>
          <w:sz w:val="22"/>
          <w:szCs w:val="22"/>
          <w:lang w:val="ka-GE"/>
        </w:rPr>
        <w:t>5</w:t>
      </w:r>
      <w:r w:rsidRPr="00400E50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45544E" w:rsidRPr="00946034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5544E" w:rsidRPr="00946034" w:rsidRDefault="002E3727" w:rsidP="00C86A2A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საგარეო ს</w:t>
      </w:r>
      <w:r w:rsidR="0045544E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ექტორი</w:t>
      </w:r>
    </w:p>
    <w:p w:rsidR="009C3AA8" w:rsidRPr="005A13F2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A13F2">
        <w:rPr>
          <w:rFonts w:ascii="Sylfaen" w:hAnsi="Sylfaen" w:cs="Sylfaen"/>
          <w:sz w:val="22"/>
          <w:szCs w:val="22"/>
          <w:lang w:val="ka-GE"/>
        </w:rPr>
        <w:t>201</w:t>
      </w:r>
      <w:r w:rsidR="005A13F2">
        <w:rPr>
          <w:rFonts w:ascii="Sylfaen" w:hAnsi="Sylfaen" w:cs="Sylfaen"/>
          <w:sz w:val="22"/>
          <w:szCs w:val="22"/>
          <w:lang w:val="ka-GE"/>
        </w:rPr>
        <w:t>9</w:t>
      </w:r>
      <w:r w:rsidRPr="005A13F2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E063A5" w:rsidRPr="005A13F2">
        <w:rPr>
          <w:rFonts w:ascii="Sylfaen" w:hAnsi="Sylfaen" w:cs="Sylfaen"/>
          <w:sz w:val="22"/>
          <w:szCs w:val="22"/>
          <w:lang w:val="ka-GE"/>
        </w:rPr>
        <w:t>ივნისში</w:t>
      </w:r>
      <w:r w:rsidRPr="005A13F2">
        <w:rPr>
          <w:rFonts w:ascii="Sylfaen" w:hAnsi="Sylfaen" w:cs="Sylfaen"/>
          <w:sz w:val="22"/>
          <w:szCs w:val="22"/>
          <w:lang w:val="ka-GE"/>
        </w:rPr>
        <w:t xml:space="preserve"> საქართველოში საქონლით საგარეო სავაჭრო ბრუნვამ </w:t>
      </w:r>
      <w:r w:rsidR="00DF7F01" w:rsidRPr="005A13F2">
        <w:rPr>
          <w:rFonts w:ascii="Sylfaen" w:hAnsi="Sylfaen" w:cs="Sylfaen"/>
          <w:sz w:val="22"/>
          <w:szCs w:val="22"/>
          <w:lang w:val="ka-GE"/>
        </w:rPr>
        <w:t>5</w:t>
      </w:r>
      <w:r w:rsidR="009C3AA8" w:rsidRPr="005A13F2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DF7F01" w:rsidRPr="005A13F2">
        <w:rPr>
          <w:rFonts w:ascii="Sylfaen" w:hAnsi="Sylfaen" w:cs="Sylfaen"/>
          <w:sz w:val="22"/>
          <w:szCs w:val="22"/>
          <w:lang w:val="ka-GE"/>
        </w:rPr>
        <w:t>9</w:t>
      </w:r>
      <w:r w:rsidR="005A13F2">
        <w:rPr>
          <w:rFonts w:ascii="Sylfaen" w:hAnsi="Sylfaen" w:cs="Sylfaen"/>
          <w:sz w:val="22"/>
          <w:szCs w:val="22"/>
          <w:lang w:val="ka-GE"/>
        </w:rPr>
        <w:t>68</w:t>
      </w:r>
      <w:r w:rsidR="00A25CFB" w:rsidRPr="005A13F2">
        <w:rPr>
          <w:rFonts w:ascii="Sylfaen" w:hAnsi="Sylfaen" w:cs="Sylfaen"/>
          <w:sz w:val="22"/>
          <w:szCs w:val="22"/>
          <w:lang w:val="ka-GE"/>
        </w:rPr>
        <w:t>.</w:t>
      </w:r>
      <w:r w:rsidR="005A13F2">
        <w:rPr>
          <w:rFonts w:ascii="Sylfaen" w:hAnsi="Sylfaen" w:cs="Sylfaen"/>
          <w:sz w:val="22"/>
          <w:szCs w:val="22"/>
          <w:lang w:val="ka-GE"/>
        </w:rPr>
        <w:t>3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წინა წლის შესაბამის მაჩვენებელზე </w:t>
      </w:r>
      <w:r w:rsidR="005A13F2">
        <w:rPr>
          <w:rFonts w:ascii="Sylfaen" w:hAnsi="Sylfaen" w:cs="Sylfaen"/>
          <w:sz w:val="22"/>
          <w:szCs w:val="22"/>
          <w:lang w:val="ka-GE"/>
        </w:rPr>
        <w:t>0</w:t>
      </w:r>
      <w:r w:rsidR="00CE3271" w:rsidRPr="005A13F2">
        <w:rPr>
          <w:rFonts w:ascii="Sylfaen" w:hAnsi="Sylfaen" w:cs="Sylfaen"/>
          <w:sz w:val="22"/>
          <w:szCs w:val="22"/>
          <w:lang w:val="ka-GE"/>
        </w:rPr>
        <w:t>.</w:t>
      </w:r>
      <w:r w:rsidR="005A13F2">
        <w:rPr>
          <w:rFonts w:ascii="Sylfaen" w:hAnsi="Sylfaen" w:cs="Sylfaen"/>
          <w:sz w:val="22"/>
          <w:szCs w:val="22"/>
          <w:lang w:val="ka-GE"/>
        </w:rPr>
        <w:t>6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5A13F2">
        <w:rPr>
          <w:rFonts w:ascii="Sylfaen" w:hAnsi="Sylfaen" w:cs="Sylfaen"/>
          <w:sz w:val="22"/>
          <w:szCs w:val="22"/>
          <w:lang w:val="ka-GE"/>
        </w:rPr>
        <w:t>ნაკლებ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ია; აქედან ექსპორტი </w:t>
      </w:r>
      <w:r w:rsidR="00E063A5" w:rsidRPr="005A13F2">
        <w:rPr>
          <w:rFonts w:ascii="Sylfaen" w:hAnsi="Sylfaen" w:cs="Sylfaen"/>
          <w:sz w:val="22"/>
          <w:szCs w:val="22"/>
          <w:lang w:val="ka-GE"/>
        </w:rPr>
        <w:t xml:space="preserve">    1 </w:t>
      </w:r>
      <w:r w:rsidR="005A13F2">
        <w:rPr>
          <w:rFonts w:ascii="Sylfaen" w:hAnsi="Sylfaen" w:cs="Sylfaen"/>
          <w:sz w:val="22"/>
          <w:szCs w:val="22"/>
          <w:lang w:val="ka-GE"/>
        </w:rPr>
        <w:t>775</w:t>
      </w:r>
      <w:r w:rsidR="00A25CFB" w:rsidRPr="005A13F2">
        <w:rPr>
          <w:rFonts w:ascii="Sylfaen" w:hAnsi="Sylfaen" w:cs="Sylfaen"/>
          <w:sz w:val="22"/>
          <w:szCs w:val="22"/>
          <w:lang w:val="ka-GE"/>
        </w:rPr>
        <w:t>.</w:t>
      </w:r>
      <w:r w:rsidR="005A13F2">
        <w:rPr>
          <w:rFonts w:ascii="Sylfaen" w:hAnsi="Sylfaen" w:cs="Sylfaen"/>
          <w:sz w:val="22"/>
          <w:szCs w:val="22"/>
          <w:lang w:val="ka-GE"/>
        </w:rPr>
        <w:t>4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 მლნ აშშ დოლარს შეადგენს (</w:t>
      </w:r>
      <w:r w:rsidR="005A13F2">
        <w:rPr>
          <w:rFonts w:ascii="Sylfaen" w:hAnsi="Sylfaen" w:cs="Sylfaen"/>
          <w:sz w:val="22"/>
          <w:szCs w:val="22"/>
          <w:lang w:val="ka-GE"/>
        </w:rPr>
        <w:t>11</w:t>
      </w:r>
      <w:r w:rsidR="00E063A5" w:rsidRPr="005A13F2">
        <w:rPr>
          <w:rFonts w:ascii="Sylfaen" w:hAnsi="Sylfaen" w:cs="Sylfaen"/>
          <w:sz w:val="22"/>
          <w:szCs w:val="22"/>
          <w:lang w:val="ka-GE"/>
        </w:rPr>
        <w:t>.</w:t>
      </w:r>
      <w:r w:rsidR="00B16446" w:rsidRPr="005A13F2">
        <w:rPr>
          <w:rFonts w:ascii="Sylfaen" w:hAnsi="Sylfaen" w:cs="Sylfaen"/>
          <w:sz w:val="22"/>
          <w:szCs w:val="22"/>
          <w:lang w:val="ka-GE"/>
        </w:rPr>
        <w:t>5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 პროცენტით მეტი), ხოლო იმპორტი </w:t>
      </w:r>
      <w:r w:rsidR="00B16446" w:rsidRPr="005A13F2">
        <w:rPr>
          <w:rFonts w:ascii="Sylfaen" w:hAnsi="Sylfaen" w:cs="Sylfaen"/>
          <w:sz w:val="22"/>
          <w:szCs w:val="22"/>
          <w:lang w:val="ka-GE"/>
        </w:rPr>
        <w:t>4</w:t>
      </w:r>
      <w:r w:rsidR="009C3AA8" w:rsidRPr="005A13F2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A13F2">
        <w:rPr>
          <w:rFonts w:ascii="Sylfaen" w:hAnsi="Sylfaen" w:cs="Sylfaen"/>
          <w:sz w:val="22"/>
          <w:szCs w:val="22"/>
          <w:lang w:val="ka-GE"/>
        </w:rPr>
        <w:t>1</w:t>
      </w:r>
      <w:r w:rsidR="00B16446" w:rsidRPr="005A13F2">
        <w:rPr>
          <w:rFonts w:ascii="Sylfaen" w:hAnsi="Sylfaen" w:cs="Sylfaen"/>
          <w:sz w:val="22"/>
          <w:szCs w:val="22"/>
          <w:lang w:val="ka-GE"/>
        </w:rPr>
        <w:t>92</w:t>
      </w:r>
      <w:r w:rsidR="00A25CFB" w:rsidRPr="005A13F2">
        <w:rPr>
          <w:rFonts w:ascii="Sylfaen" w:hAnsi="Sylfaen" w:cs="Sylfaen"/>
          <w:sz w:val="22"/>
          <w:szCs w:val="22"/>
          <w:lang w:val="ka-GE"/>
        </w:rPr>
        <w:t>.</w:t>
      </w:r>
      <w:r w:rsidR="005A13F2">
        <w:rPr>
          <w:rFonts w:ascii="Sylfaen" w:hAnsi="Sylfaen" w:cs="Sylfaen"/>
          <w:sz w:val="22"/>
          <w:szCs w:val="22"/>
          <w:lang w:val="ka-GE"/>
        </w:rPr>
        <w:t>9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 მლნ აშშ დოლარს 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lastRenderedPageBreak/>
        <w:t>(</w:t>
      </w:r>
      <w:r w:rsidR="005A13F2">
        <w:rPr>
          <w:rFonts w:ascii="Sylfaen" w:hAnsi="Sylfaen" w:cs="Sylfaen"/>
          <w:sz w:val="22"/>
          <w:szCs w:val="22"/>
          <w:lang w:val="ka-GE"/>
        </w:rPr>
        <w:t>4</w:t>
      </w:r>
      <w:r w:rsidR="00E063A5" w:rsidRPr="005A13F2">
        <w:rPr>
          <w:rFonts w:ascii="Sylfaen" w:hAnsi="Sylfaen" w:cs="Sylfaen"/>
          <w:sz w:val="22"/>
          <w:szCs w:val="22"/>
          <w:lang w:val="ka-GE"/>
        </w:rPr>
        <w:t>.</w:t>
      </w:r>
      <w:r w:rsidR="00B16446" w:rsidRPr="005A13F2">
        <w:rPr>
          <w:rFonts w:ascii="Sylfaen" w:hAnsi="Sylfaen" w:cs="Sylfaen"/>
          <w:sz w:val="22"/>
          <w:szCs w:val="22"/>
          <w:lang w:val="ka-GE"/>
        </w:rPr>
        <w:t>9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5A13F2">
        <w:rPr>
          <w:rFonts w:ascii="Sylfaen" w:hAnsi="Sylfaen" w:cs="Sylfaen"/>
          <w:sz w:val="22"/>
          <w:szCs w:val="22"/>
          <w:lang w:val="ka-GE"/>
        </w:rPr>
        <w:t>ნაკლები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>). საქართველოს უარყოფითმა სავაჭრო ბალანსმა 201</w:t>
      </w:r>
      <w:r w:rsidR="005A13F2">
        <w:rPr>
          <w:rFonts w:ascii="Sylfaen" w:hAnsi="Sylfaen" w:cs="Sylfaen"/>
          <w:sz w:val="22"/>
          <w:szCs w:val="22"/>
          <w:lang w:val="ka-GE"/>
        </w:rPr>
        <w:t>9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 წლის იანვარ-</w:t>
      </w:r>
      <w:r w:rsidR="00E063A5" w:rsidRPr="005A13F2">
        <w:rPr>
          <w:rFonts w:ascii="Sylfaen" w:hAnsi="Sylfaen" w:cs="Sylfaen"/>
          <w:sz w:val="22"/>
          <w:szCs w:val="22"/>
          <w:lang w:val="ka-GE"/>
        </w:rPr>
        <w:t>ივნისში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16446" w:rsidRPr="005A13F2">
        <w:rPr>
          <w:rFonts w:ascii="Sylfaen" w:hAnsi="Sylfaen" w:cs="Sylfaen"/>
          <w:sz w:val="22"/>
          <w:szCs w:val="22"/>
          <w:lang w:val="ka-GE"/>
        </w:rPr>
        <w:t xml:space="preserve">         </w:t>
      </w:r>
      <w:r w:rsidR="00E063A5" w:rsidRPr="005A13F2">
        <w:rPr>
          <w:rFonts w:ascii="Sylfaen" w:hAnsi="Sylfaen" w:cs="Sylfaen"/>
          <w:sz w:val="22"/>
          <w:szCs w:val="22"/>
          <w:lang w:val="ka-GE"/>
        </w:rPr>
        <w:t>2</w:t>
      </w:r>
      <w:r w:rsidR="00901376" w:rsidRPr="005A13F2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A13F2">
        <w:rPr>
          <w:rFonts w:ascii="Sylfaen" w:hAnsi="Sylfaen" w:cs="Sylfaen"/>
          <w:sz w:val="22"/>
          <w:szCs w:val="22"/>
          <w:lang w:val="ka-GE"/>
        </w:rPr>
        <w:t>417</w:t>
      </w:r>
      <w:r w:rsidR="00A25CFB" w:rsidRPr="005A13F2">
        <w:rPr>
          <w:rFonts w:ascii="Sylfaen" w:hAnsi="Sylfaen" w:cs="Sylfaen"/>
          <w:sz w:val="22"/>
          <w:szCs w:val="22"/>
          <w:lang w:val="ka-GE"/>
        </w:rPr>
        <w:t>.</w:t>
      </w:r>
      <w:r w:rsidR="005A13F2">
        <w:rPr>
          <w:rFonts w:ascii="Sylfaen" w:hAnsi="Sylfaen" w:cs="Sylfaen"/>
          <w:sz w:val="22"/>
          <w:szCs w:val="22"/>
          <w:lang w:val="ka-GE"/>
        </w:rPr>
        <w:t>4</w:t>
      </w:r>
      <w:r w:rsidR="009C3AA8" w:rsidRPr="005A13F2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</w:p>
    <w:p w:rsidR="0045544E" w:rsidRPr="005A13F2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A13F2">
        <w:rPr>
          <w:rFonts w:ascii="Sylfaen" w:hAnsi="Sylfaen" w:cs="Sylfaen"/>
          <w:sz w:val="22"/>
          <w:szCs w:val="22"/>
          <w:lang w:val="ka-GE"/>
        </w:rPr>
        <w:t xml:space="preserve">საქართველოს უმსხვილეს </w:t>
      </w:r>
      <w:r w:rsidR="00901376" w:rsidRPr="005A13F2">
        <w:rPr>
          <w:rFonts w:ascii="Sylfaen" w:hAnsi="Sylfaen" w:cs="Sylfaen"/>
          <w:sz w:val="22"/>
          <w:szCs w:val="22"/>
          <w:lang w:val="ka-GE"/>
        </w:rPr>
        <w:t xml:space="preserve">სავაჭრო </w:t>
      </w:r>
      <w:r w:rsidRPr="005A13F2">
        <w:rPr>
          <w:rFonts w:ascii="Sylfaen" w:hAnsi="Sylfaen" w:cs="Sylfaen"/>
          <w:sz w:val="22"/>
          <w:szCs w:val="22"/>
          <w:lang w:val="ka-GE"/>
        </w:rPr>
        <w:t>პარტნიორ</w:t>
      </w:r>
      <w:r w:rsidR="005A13F2">
        <w:rPr>
          <w:rFonts w:ascii="Sylfaen" w:hAnsi="Sylfaen" w:cs="Sylfaen"/>
          <w:sz w:val="22"/>
          <w:szCs w:val="22"/>
          <w:lang w:val="ka-GE"/>
        </w:rPr>
        <w:t>ი</w:t>
      </w:r>
      <w:r w:rsidRPr="005A13F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ევროკავშირია, რომლის წილი მთლიან საქონელბრუნვაში 2</w:t>
      </w:r>
      <w:r w:rsidR="00FB220E">
        <w:rPr>
          <w:rFonts w:ascii="Sylfaen" w:hAnsi="Sylfaen" w:cs="Sylfaen"/>
          <w:sz w:val="22"/>
          <w:szCs w:val="22"/>
          <w:lang w:val="ka-GE"/>
        </w:rPr>
        <w:t>5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.</w:t>
      </w:r>
      <w:r w:rsidR="00FB220E">
        <w:rPr>
          <w:rFonts w:ascii="Sylfaen" w:hAnsi="Sylfaen" w:cs="Sylfaen"/>
          <w:sz w:val="22"/>
          <w:szCs w:val="22"/>
          <w:lang w:val="ka-GE"/>
        </w:rPr>
        <w:t>3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%-ს შეადგენს. უმსხვილეს სავაჭრო პარტნიორებში აგრეთვე შედის თურქეთი (1</w:t>
      </w:r>
      <w:r w:rsidR="00FB220E">
        <w:rPr>
          <w:rFonts w:ascii="Sylfaen" w:hAnsi="Sylfaen" w:cs="Sylfaen"/>
          <w:sz w:val="22"/>
          <w:szCs w:val="22"/>
          <w:lang w:val="ka-GE"/>
        </w:rPr>
        <w:t>4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.</w:t>
      </w:r>
      <w:r w:rsidR="00FB220E">
        <w:rPr>
          <w:rFonts w:ascii="Sylfaen" w:hAnsi="Sylfaen" w:cs="Sylfaen"/>
          <w:sz w:val="22"/>
          <w:szCs w:val="22"/>
          <w:lang w:val="ka-GE"/>
        </w:rPr>
        <w:t>1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%), რუსეთი (11.</w:t>
      </w:r>
      <w:r w:rsidR="00FB220E">
        <w:rPr>
          <w:rFonts w:ascii="Sylfaen" w:hAnsi="Sylfaen" w:cs="Sylfaen"/>
          <w:sz w:val="22"/>
          <w:szCs w:val="22"/>
          <w:lang w:val="ka-GE"/>
        </w:rPr>
        <w:t>4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%), აზერბაიჯანი (</w:t>
      </w:r>
      <w:r w:rsidR="00FB220E">
        <w:rPr>
          <w:rFonts w:ascii="Sylfaen" w:hAnsi="Sylfaen" w:cs="Sylfaen"/>
          <w:sz w:val="22"/>
          <w:szCs w:val="22"/>
          <w:lang w:val="ka-GE"/>
        </w:rPr>
        <w:t>8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.</w:t>
      </w:r>
      <w:r w:rsidR="00FB220E">
        <w:rPr>
          <w:rFonts w:ascii="Sylfaen" w:hAnsi="Sylfaen" w:cs="Sylfaen"/>
          <w:sz w:val="22"/>
          <w:szCs w:val="22"/>
          <w:lang w:val="ka-GE"/>
        </w:rPr>
        <w:t>5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%) და ჩინეთი (</w:t>
      </w:r>
      <w:r w:rsidR="00FB220E">
        <w:rPr>
          <w:rFonts w:ascii="Sylfaen" w:hAnsi="Sylfaen" w:cs="Sylfaen"/>
          <w:sz w:val="22"/>
          <w:szCs w:val="22"/>
          <w:lang w:val="ka-GE"/>
        </w:rPr>
        <w:t>8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.</w:t>
      </w:r>
      <w:r w:rsidR="00FB220E">
        <w:rPr>
          <w:rFonts w:ascii="Sylfaen" w:hAnsi="Sylfaen" w:cs="Sylfaen"/>
          <w:sz w:val="22"/>
          <w:szCs w:val="22"/>
          <w:lang w:val="ka-GE"/>
        </w:rPr>
        <w:t>1</w:t>
      </w:r>
      <w:r w:rsidR="005A13F2" w:rsidRPr="00D51CF6">
        <w:rPr>
          <w:rFonts w:ascii="Sylfaen" w:hAnsi="Sylfaen" w:cs="Sylfaen"/>
          <w:sz w:val="22"/>
          <w:szCs w:val="22"/>
          <w:lang w:val="ka-GE"/>
        </w:rPr>
        <w:t>%).</w:t>
      </w:r>
      <w:r w:rsidRPr="005A13F2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FB220E" w:rsidRPr="00E75D4C" w:rsidRDefault="00FB220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75D4C">
        <w:rPr>
          <w:rFonts w:ascii="Sylfaen" w:hAnsi="Sylfaen" w:cs="Sylfaen"/>
          <w:sz w:val="22"/>
          <w:szCs w:val="22"/>
          <w:lang w:val="ka-GE"/>
        </w:rPr>
        <w:t>მთლიან ექსპორტში ევროკავშირის წილი 2</w:t>
      </w:r>
      <w:r w:rsidR="00E75D4C" w:rsidRPr="00E75D4C">
        <w:rPr>
          <w:rFonts w:ascii="Sylfaen" w:hAnsi="Sylfaen" w:cs="Sylfaen"/>
          <w:sz w:val="22"/>
          <w:szCs w:val="22"/>
          <w:lang w:val="ka-GE"/>
        </w:rPr>
        <w:t>4</w:t>
      </w:r>
      <w:r w:rsidRPr="00E75D4C">
        <w:rPr>
          <w:rFonts w:ascii="Sylfaen" w:hAnsi="Sylfaen" w:cs="Sylfaen"/>
          <w:sz w:val="22"/>
          <w:szCs w:val="22"/>
          <w:lang w:val="ka-GE"/>
        </w:rPr>
        <w:t>.</w:t>
      </w:r>
      <w:r w:rsidR="00E75D4C" w:rsidRPr="00E75D4C">
        <w:rPr>
          <w:rFonts w:ascii="Sylfaen" w:hAnsi="Sylfaen" w:cs="Sylfaen"/>
          <w:sz w:val="22"/>
          <w:szCs w:val="22"/>
          <w:lang w:val="ka-GE"/>
        </w:rPr>
        <w:t>0</w:t>
      </w:r>
      <w:r w:rsidRPr="00E75D4C">
        <w:rPr>
          <w:rFonts w:ascii="Sylfaen" w:hAnsi="Sylfaen" w:cs="Sylfaen"/>
          <w:sz w:val="22"/>
          <w:szCs w:val="22"/>
          <w:lang w:val="ka-GE"/>
        </w:rPr>
        <w:t>%-ია. რუსეთის 1</w:t>
      </w:r>
      <w:r w:rsidR="0081528E">
        <w:rPr>
          <w:rFonts w:ascii="Sylfaen" w:hAnsi="Sylfaen" w:cs="Sylfaen"/>
          <w:sz w:val="22"/>
          <w:szCs w:val="22"/>
          <w:lang w:val="ka-GE"/>
        </w:rPr>
        <w:t>4</w:t>
      </w:r>
      <w:r w:rsidRPr="00E75D4C">
        <w:rPr>
          <w:rFonts w:ascii="Sylfaen" w:hAnsi="Sylfaen" w:cs="Sylfaen"/>
          <w:sz w:val="22"/>
          <w:szCs w:val="22"/>
          <w:lang w:val="ka-GE"/>
        </w:rPr>
        <w:t>.</w:t>
      </w:r>
      <w:r w:rsidR="0081528E">
        <w:rPr>
          <w:rFonts w:ascii="Sylfaen" w:hAnsi="Sylfaen" w:cs="Sylfaen"/>
          <w:sz w:val="22"/>
          <w:szCs w:val="22"/>
          <w:lang w:val="ka-GE"/>
        </w:rPr>
        <w:t>7</w:t>
      </w:r>
      <w:r w:rsidRPr="00E75D4C">
        <w:rPr>
          <w:rFonts w:ascii="Sylfaen" w:hAnsi="Sylfaen" w:cs="Sylfaen"/>
          <w:sz w:val="22"/>
          <w:szCs w:val="22"/>
          <w:lang w:val="ka-GE"/>
        </w:rPr>
        <w:t>%, შემდეგ მოდიან აზერბაიჯანი 1</w:t>
      </w:r>
      <w:r w:rsidR="0081528E">
        <w:rPr>
          <w:rFonts w:ascii="Sylfaen" w:hAnsi="Sylfaen" w:cs="Sylfaen"/>
          <w:sz w:val="22"/>
          <w:szCs w:val="22"/>
          <w:lang w:val="ka-GE"/>
        </w:rPr>
        <w:t>1</w:t>
      </w:r>
      <w:r w:rsidRPr="00E75D4C">
        <w:rPr>
          <w:rFonts w:ascii="Sylfaen" w:hAnsi="Sylfaen" w:cs="Sylfaen"/>
          <w:sz w:val="22"/>
          <w:szCs w:val="22"/>
          <w:lang w:val="ka-GE"/>
        </w:rPr>
        <w:t>.</w:t>
      </w:r>
      <w:r w:rsidR="0081528E">
        <w:rPr>
          <w:rFonts w:ascii="Sylfaen" w:hAnsi="Sylfaen" w:cs="Sylfaen"/>
          <w:sz w:val="22"/>
          <w:szCs w:val="22"/>
          <w:lang w:val="ka-GE"/>
        </w:rPr>
        <w:t>9</w:t>
      </w:r>
      <w:r w:rsidRPr="00E75D4C">
        <w:rPr>
          <w:rFonts w:ascii="Sylfaen" w:hAnsi="Sylfaen" w:cs="Sylfaen"/>
          <w:sz w:val="22"/>
          <w:szCs w:val="22"/>
          <w:lang w:val="ka-GE"/>
        </w:rPr>
        <w:t xml:space="preserve">%,  სომხეთი </w:t>
      </w:r>
      <w:r w:rsidR="0081528E">
        <w:rPr>
          <w:rFonts w:ascii="Sylfaen" w:hAnsi="Sylfaen" w:cs="Sylfaen"/>
          <w:sz w:val="22"/>
          <w:szCs w:val="22"/>
          <w:lang w:val="ka-GE"/>
        </w:rPr>
        <w:t>8</w:t>
      </w:r>
      <w:r w:rsidRPr="00E75D4C">
        <w:rPr>
          <w:rFonts w:ascii="Sylfaen" w:hAnsi="Sylfaen" w:cs="Sylfaen"/>
          <w:sz w:val="22"/>
          <w:szCs w:val="22"/>
          <w:lang w:val="ka-GE"/>
        </w:rPr>
        <w:t>.</w:t>
      </w:r>
      <w:r w:rsidR="0081528E">
        <w:rPr>
          <w:rFonts w:ascii="Sylfaen" w:hAnsi="Sylfaen" w:cs="Sylfaen"/>
          <w:sz w:val="22"/>
          <w:szCs w:val="22"/>
          <w:lang w:val="ka-GE"/>
        </w:rPr>
        <w:t>3</w:t>
      </w:r>
      <w:r w:rsidRPr="00E75D4C">
        <w:rPr>
          <w:rFonts w:ascii="Sylfaen" w:hAnsi="Sylfaen" w:cs="Sylfaen"/>
          <w:sz w:val="22"/>
          <w:szCs w:val="22"/>
          <w:lang w:val="ka-GE"/>
        </w:rPr>
        <w:t>% და უკრაინა 7.</w:t>
      </w:r>
      <w:r w:rsidR="0081528E">
        <w:rPr>
          <w:rFonts w:ascii="Sylfaen" w:hAnsi="Sylfaen" w:cs="Sylfaen"/>
          <w:sz w:val="22"/>
          <w:szCs w:val="22"/>
          <w:lang w:val="ka-GE"/>
        </w:rPr>
        <w:t>3</w:t>
      </w:r>
      <w:r w:rsidRPr="00E75D4C">
        <w:rPr>
          <w:rFonts w:ascii="Sylfaen" w:hAnsi="Sylfaen" w:cs="Sylfaen"/>
          <w:sz w:val="22"/>
          <w:szCs w:val="22"/>
          <w:lang w:val="ka-GE"/>
        </w:rPr>
        <w:t>%.</w:t>
      </w:r>
    </w:p>
    <w:p w:rsidR="0045544E" w:rsidRPr="00B07293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07293">
        <w:rPr>
          <w:rFonts w:ascii="Sylfaen" w:hAnsi="Sylfaen" w:cs="Sylfaen"/>
          <w:sz w:val="22"/>
          <w:szCs w:val="22"/>
          <w:lang w:val="ka-GE"/>
        </w:rPr>
        <w:t>სასაქონლო ჯგუფების მიხედვით ექსპორტში პირველ ადგილზე სპილენძის მადნები და კონცენტრატები</w:t>
      </w:r>
      <w:r w:rsidR="00576460" w:rsidRPr="00B07293">
        <w:rPr>
          <w:rFonts w:ascii="Sylfaen" w:hAnsi="Sylfaen" w:cs="Sylfaen"/>
          <w:sz w:val="22"/>
          <w:szCs w:val="22"/>
          <w:lang w:val="ka-GE"/>
        </w:rPr>
        <w:t>ა</w:t>
      </w:r>
      <w:r w:rsidRPr="00B07293">
        <w:rPr>
          <w:rFonts w:ascii="Sylfaen" w:hAnsi="Sylfaen" w:cs="Sylfaen"/>
          <w:sz w:val="22"/>
          <w:szCs w:val="22"/>
          <w:lang w:val="ka-GE"/>
        </w:rPr>
        <w:t xml:space="preserve"> 1</w:t>
      </w:r>
      <w:r w:rsidR="00B07293" w:rsidRPr="00B07293">
        <w:rPr>
          <w:rFonts w:ascii="Sylfaen" w:hAnsi="Sylfaen" w:cs="Sylfaen"/>
          <w:sz w:val="22"/>
          <w:szCs w:val="22"/>
          <w:lang w:val="ka-GE"/>
        </w:rPr>
        <w:t>7</w:t>
      </w:r>
      <w:r w:rsidRPr="00B07293">
        <w:rPr>
          <w:rFonts w:ascii="Sylfaen" w:hAnsi="Sylfaen" w:cs="Sylfaen"/>
          <w:sz w:val="22"/>
          <w:szCs w:val="22"/>
          <w:lang w:val="ka-GE"/>
        </w:rPr>
        <w:t>.</w:t>
      </w:r>
      <w:r w:rsidR="00B07293" w:rsidRPr="00B07293">
        <w:rPr>
          <w:rFonts w:ascii="Sylfaen" w:hAnsi="Sylfaen" w:cs="Sylfaen"/>
          <w:sz w:val="22"/>
          <w:szCs w:val="22"/>
          <w:lang w:val="ka-GE"/>
        </w:rPr>
        <w:t>3</w:t>
      </w:r>
      <w:r w:rsidRPr="00B07293">
        <w:rPr>
          <w:rFonts w:ascii="Sylfaen" w:hAnsi="Sylfaen" w:cs="Sylfaen"/>
          <w:sz w:val="22"/>
          <w:szCs w:val="22"/>
          <w:lang w:val="ka-GE"/>
        </w:rPr>
        <w:t xml:space="preserve"> პროცენტით, მომდევნო ადგილებს იკავებენ: </w:t>
      </w:r>
      <w:r w:rsidR="00B07293" w:rsidRPr="00B07293">
        <w:rPr>
          <w:rFonts w:ascii="Sylfaen" w:hAnsi="Sylfaen" w:cs="Sylfaen"/>
          <w:sz w:val="22"/>
          <w:szCs w:val="22"/>
          <w:lang w:val="ka-GE"/>
        </w:rPr>
        <w:t xml:space="preserve">მსუბუქი ავტომობილები 14.7 პროცენტი, </w:t>
      </w:r>
      <w:r w:rsidR="0017637B" w:rsidRPr="00B07293">
        <w:rPr>
          <w:rFonts w:ascii="Sylfaen" w:hAnsi="Sylfaen" w:cs="Sylfaen"/>
          <w:sz w:val="22"/>
          <w:szCs w:val="22"/>
          <w:lang w:val="ka-GE"/>
        </w:rPr>
        <w:t>ფეროშენადნობები 1</w:t>
      </w:r>
      <w:r w:rsidR="00B07293" w:rsidRPr="00B07293">
        <w:rPr>
          <w:rFonts w:ascii="Sylfaen" w:hAnsi="Sylfaen" w:cs="Sylfaen"/>
          <w:sz w:val="22"/>
          <w:szCs w:val="22"/>
          <w:lang w:val="ka-GE"/>
        </w:rPr>
        <w:t>0</w:t>
      </w:r>
      <w:r w:rsidR="0017637B" w:rsidRPr="00B07293">
        <w:rPr>
          <w:rFonts w:ascii="Sylfaen" w:hAnsi="Sylfaen" w:cs="Sylfaen"/>
          <w:sz w:val="22"/>
          <w:szCs w:val="22"/>
          <w:lang w:val="ka-GE"/>
        </w:rPr>
        <w:t>.</w:t>
      </w:r>
      <w:r w:rsidR="00B07293" w:rsidRPr="00B07293">
        <w:rPr>
          <w:rFonts w:ascii="Sylfaen" w:hAnsi="Sylfaen" w:cs="Sylfaen"/>
          <w:sz w:val="22"/>
          <w:szCs w:val="22"/>
          <w:lang w:val="ka-GE"/>
        </w:rPr>
        <w:t>1</w:t>
      </w:r>
      <w:r w:rsidR="0017637B" w:rsidRPr="00B07293">
        <w:rPr>
          <w:rFonts w:ascii="Sylfaen" w:hAnsi="Sylfaen" w:cs="Sylfaen"/>
          <w:sz w:val="22"/>
          <w:szCs w:val="22"/>
          <w:lang w:val="ka-GE"/>
        </w:rPr>
        <w:t xml:space="preserve"> პროცენტი, </w:t>
      </w:r>
      <w:r w:rsidR="00B07293" w:rsidRPr="00B07293">
        <w:rPr>
          <w:rFonts w:ascii="Sylfaen" w:hAnsi="Sylfaen" w:cs="Sylfaen"/>
          <w:sz w:val="22"/>
          <w:szCs w:val="22"/>
          <w:lang w:val="ka-GE"/>
        </w:rPr>
        <w:t xml:space="preserve">მედიკამენტები დაფასოებული </w:t>
      </w:r>
      <w:r w:rsidR="00B07293">
        <w:rPr>
          <w:rFonts w:ascii="Sylfaen" w:hAnsi="Sylfaen" w:cs="Sylfaen"/>
          <w:sz w:val="22"/>
          <w:szCs w:val="22"/>
          <w:lang w:val="ka-GE"/>
        </w:rPr>
        <w:t>6</w:t>
      </w:r>
      <w:r w:rsidR="00B07293" w:rsidRPr="00B07293">
        <w:rPr>
          <w:rFonts w:ascii="Sylfaen" w:hAnsi="Sylfaen" w:cs="Sylfaen"/>
          <w:sz w:val="22"/>
          <w:szCs w:val="22"/>
          <w:lang w:val="ka-GE"/>
        </w:rPr>
        <w:t xml:space="preserve">.0 პროცენტი და </w:t>
      </w:r>
      <w:r w:rsidR="0017637B" w:rsidRPr="00B07293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5.</w:t>
      </w:r>
      <w:r w:rsidR="00B07293">
        <w:rPr>
          <w:rFonts w:ascii="Sylfaen" w:hAnsi="Sylfaen" w:cs="Sylfaen"/>
          <w:sz w:val="22"/>
          <w:szCs w:val="22"/>
          <w:lang w:val="ka-GE"/>
        </w:rPr>
        <w:t>5</w:t>
      </w:r>
      <w:r w:rsidR="0017637B" w:rsidRPr="00B07293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07293">
        <w:rPr>
          <w:rFonts w:ascii="Sylfaen" w:hAnsi="Sylfaen" w:cs="Sylfaen"/>
          <w:sz w:val="22"/>
          <w:szCs w:val="22"/>
          <w:lang w:val="ka-GE"/>
        </w:rPr>
        <w:t xml:space="preserve">პროცენტი. </w:t>
      </w:r>
    </w:p>
    <w:p w:rsidR="00FB220E" w:rsidRPr="00D51CF6" w:rsidRDefault="00FB220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D51CF6">
        <w:rPr>
          <w:rFonts w:ascii="Sylfaen" w:hAnsi="Sylfaen" w:cs="Sylfaen"/>
          <w:sz w:val="22"/>
          <w:szCs w:val="22"/>
          <w:lang w:val="ka-GE"/>
        </w:rPr>
        <w:t>მთლიან იმპორტში ევროკავშირის წილი 25.</w:t>
      </w:r>
      <w:r w:rsidR="0081528E">
        <w:rPr>
          <w:rFonts w:ascii="Sylfaen" w:hAnsi="Sylfaen" w:cs="Sylfaen"/>
          <w:sz w:val="22"/>
          <w:szCs w:val="22"/>
          <w:lang w:val="ka-GE"/>
        </w:rPr>
        <w:t>9</w:t>
      </w:r>
      <w:r w:rsidRPr="00D51CF6">
        <w:rPr>
          <w:rFonts w:ascii="Sylfaen" w:hAnsi="Sylfaen" w:cs="Sylfaen"/>
          <w:sz w:val="22"/>
          <w:szCs w:val="22"/>
          <w:lang w:val="ka-GE"/>
        </w:rPr>
        <w:t>%-ია. თურქეთის 1</w:t>
      </w:r>
      <w:r w:rsidR="0050630F">
        <w:rPr>
          <w:rFonts w:ascii="Sylfaen" w:hAnsi="Sylfaen" w:cs="Sylfaen"/>
          <w:sz w:val="22"/>
          <w:szCs w:val="22"/>
          <w:lang w:val="ka-GE"/>
        </w:rPr>
        <w:t>7</w:t>
      </w:r>
      <w:r w:rsidRPr="00D51CF6">
        <w:rPr>
          <w:rFonts w:ascii="Sylfaen" w:hAnsi="Sylfaen" w:cs="Sylfaen"/>
          <w:sz w:val="22"/>
          <w:szCs w:val="22"/>
          <w:lang w:val="ka-GE"/>
        </w:rPr>
        <w:t>.</w:t>
      </w:r>
      <w:r w:rsidR="0050630F">
        <w:rPr>
          <w:rFonts w:ascii="Sylfaen" w:hAnsi="Sylfaen" w:cs="Sylfaen"/>
          <w:sz w:val="22"/>
          <w:szCs w:val="22"/>
          <w:lang w:val="ka-GE"/>
        </w:rPr>
        <w:t>2</w:t>
      </w:r>
      <w:r w:rsidRPr="00D51CF6">
        <w:rPr>
          <w:rFonts w:ascii="Sylfaen" w:hAnsi="Sylfaen" w:cs="Sylfaen"/>
          <w:sz w:val="22"/>
          <w:szCs w:val="22"/>
          <w:lang w:val="ka-GE"/>
        </w:rPr>
        <w:t>%. შემდეგ მოდიან ჩინეთი 1</w:t>
      </w:r>
      <w:r w:rsidR="0050630F">
        <w:rPr>
          <w:rFonts w:ascii="Sylfaen" w:hAnsi="Sylfaen" w:cs="Sylfaen"/>
          <w:sz w:val="22"/>
          <w:szCs w:val="22"/>
          <w:lang w:val="ka-GE"/>
        </w:rPr>
        <w:t>0</w:t>
      </w:r>
      <w:r w:rsidRPr="00D51CF6">
        <w:rPr>
          <w:rFonts w:ascii="Sylfaen" w:hAnsi="Sylfaen" w:cs="Sylfaen"/>
          <w:sz w:val="22"/>
          <w:szCs w:val="22"/>
          <w:lang w:val="ka-GE"/>
        </w:rPr>
        <w:t>.</w:t>
      </w:r>
      <w:r w:rsidR="0050630F">
        <w:rPr>
          <w:rFonts w:ascii="Sylfaen" w:hAnsi="Sylfaen" w:cs="Sylfaen"/>
          <w:sz w:val="22"/>
          <w:szCs w:val="22"/>
          <w:lang w:val="ka-GE"/>
        </w:rPr>
        <w:t>3</w:t>
      </w:r>
      <w:r w:rsidRPr="00D51CF6">
        <w:rPr>
          <w:rFonts w:ascii="Sylfaen" w:hAnsi="Sylfaen" w:cs="Sylfaen"/>
          <w:sz w:val="22"/>
          <w:szCs w:val="22"/>
          <w:lang w:val="ka-GE"/>
        </w:rPr>
        <w:t>%, რუსეთი 9.</w:t>
      </w:r>
      <w:r w:rsidR="0050630F">
        <w:rPr>
          <w:rFonts w:ascii="Sylfaen" w:hAnsi="Sylfaen" w:cs="Sylfaen"/>
          <w:sz w:val="22"/>
          <w:szCs w:val="22"/>
          <w:lang w:val="ka-GE"/>
        </w:rPr>
        <w:t>9</w:t>
      </w:r>
      <w:r w:rsidRPr="00D51CF6">
        <w:rPr>
          <w:rFonts w:ascii="Sylfaen" w:hAnsi="Sylfaen" w:cs="Sylfaen"/>
          <w:sz w:val="22"/>
          <w:szCs w:val="22"/>
          <w:lang w:val="ka-GE"/>
        </w:rPr>
        <w:t xml:space="preserve">%, აზერბაიჯანი </w:t>
      </w:r>
      <w:r w:rsidR="0050630F">
        <w:rPr>
          <w:rFonts w:ascii="Sylfaen" w:hAnsi="Sylfaen" w:cs="Sylfaen"/>
          <w:sz w:val="22"/>
          <w:szCs w:val="22"/>
          <w:lang w:val="ka-GE"/>
        </w:rPr>
        <w:t>7</w:t>
      </w:r>
      <w:r w:rsidRPr="00D51CF6">
        <w:rPr>
          <w:rFonts w:ascii="Sylfaen" w:hAnsi="Sylfaen" w:cs="Sylfaen"/>
          <w:sz w:val="22"/>
          <w:szCs w:val="22"/>
          <w:lang w:val="ka-GE"/>
        </w:rPr>
        <w:t>.</w:t>
      </w:r>
      <w:r w:rsidR="0050630F">
        <w:rPr>
          <w:rFonts w:ascii="Sylfaen" w:hAnsi="Sylfaen" w:cs="Sylfaen"/>
          <w:sz w:val="22"/>
          <w:szCs w:val="22"/>
          <w:lang w:val="ka-GE"/>
        </w:rPr>
        <w:t>1</w:t>
      </w:r>
      <w:r w:rsidRPr="00D51CF6">
        <w:rPr>
          <w:rFonts w:ascii="Sylfaen" w:hAnsi="Sylfaen" w:cs="Sylfaen"/>
          <w:sz w:val="22"/>
          <w:szCs w:val="22"/>
          <w:lang w:val="ka-GE"/>
        </w:rPr>
        <w:t xml:space="preserve">% და </w:t>
      </w:r>
      <w:r w:rsidR="0050630F">
        <w:rPr>
          <w:rFonts w:ascii="Sylfaen" w:hAnsi="Sylfaen" w:cs="Sylfaen"/>
          <w:sz w:val="22"/>
          <w:szCs w:val="22"/>
          <w:lang w:val="ka-GE"/>
        </w:rPr>
        <w:t>გერმანია</w:t>
      </w:r>
      <w:r w:rsidRPr="00D51CF6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0630F">
        <w:rPr>
          <w:rFonts w:ascii="Sylfaen" w:hAnsi="Sylfaen" w:cs="Sylfaen"/>
          <w:sz w:val="22"/>
          <w:szCs w:val="22"/>
          <w:lang w:val="ka-GE"/>
        </w:rPr>
        <w:t>5</w:t>
      </w:r>
      <w:r w:rsidRPr="00D51CF6">
        <w:rPr>
          <w:rFonts w:ascii="Sylfaen" w:hAnsi="Sylfaen" w:cs="Sylfaen"/>
          <w:sz w:val="22"/>
          <w:szCs w:val="22"/>
          <w:lang w:val="ka-GE"/>
        </w:rPr>
        <w:t>.</w:t>
      </w:r>
      <w:r w:rsidR="0050630F">
        <w:rPr>
          <w:rFonts w:ascii="Sylfaen" w:hAnsi="Sylfaen" w:cs="Sylfaen"/>
          <w:sz w:val="22"/>
          <w:szCs w:val="22"/>
          <w:lang w:val="ka-GE"/>
        </w:rPr>
        <w:t>0</w:t>
      </w:r>
      <w:r w:rsidRPr="00D51CF6">
        <w:rPr>
          <w:rFonts w:ascii="Sylfaen" w:hAnsi="Sylfaen" w:cs="Sylfaen"/>
          <w:sz w:val="22"/>
          <w:szCs w:val="22"/>
          <w:lang w:val="ka-GE"/>
        </w:rPr>
        <w:t>%.</w:t>
      </w:r>
    </w:p>
    <w:p w:rsidR="0045544E" w:rsidRPr="00B07293" w:rsidRDefault="0045544E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07293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</w:t>
      </w:r>
      <w:r w:rsidR="00067CA5" w:rsidRPr="00B07293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</w:t>
      </w:r>
      <w:r w:rsidR="0017637B" w:rsidRPr="00B07293">
        <w:rPr>
          <w:rFonts w:ascii="Sylfaen" w:hAnsi="Sylfaen" w:cs="Sylfaen"/>
          <w:sz w:val="22"/>
          <w:szCs w:val="22"/>
          <w:lang w:val="ka-GE"/>
        </w:rPr>
        <w:t>ა</w:t>
      </w:r>
      <w:r w:rsidRPr="00B07293">
        <w:rPr>
          <w:rFonts w:ascii="Sylfaen" w:hAnsi="Sylfaen" w:cs="Sylfaen"/>
          <w:sz w:val="22"/>
          <w:szCs w:val="22"/>
          <w:lang w:val="ka-GE"/>
        </w:rPr>
        <w:t xml:space="preserve">, რომელსაც მთლიან იმპორტში </w:t>
      </w:r>
      <w:r w:rsidR="00B07293">
        <w:rPr>
          <w:rFonts w:ascii="Sylfaen" w:hAnsi="Sylfaen" w:cs="Sylfaen"/>
          <w:sz w:val="22"/>
          <w:szCs w:val="22"/>
          <w:lang w:val="ka-GE"/>
        </w:rPr>
        <w:t>8</w:t>
      </w:r>
      <w:r w:rsidR="00067CA5" w:rsidRPr="00B07293">
        <w:rPr>
          <w:rFonts w:ascii="Sylfaen" w:hAnsi="Sylfaen" w:cs="Sylfaen"/>
          <w:sz w:val="22"/>
          <w:szCs w:val="22"/>
          <w:lang w:val="ka-GE"/>
        </w:rPr>
        <w:t>.</w:t>
      </w:r>
      <w:r w:rsidR="00B07293">
        <w:rPr>
          <w:rFonts w:ascii="Sylfaen" w:hAnsi="Sylfaen" w:cs="Sylfaen"/>
          <w:sz w:val="22"/>
          <w:szCs w:val="22"/>
          <w:lang w:val="ka-GE"/>
        </w:rPr>
        <w:t>1</w:t>
      </w:r>
      <w:r w:rsidR="00067CA5" w:rsidRPr="00B07293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07293">
        <w:rPr>
          <w:rFonts w:ascii="Sylfaen" w:hAnsi="Sylfaen" w:cs="Sylfaen"/>
          <w:sz w:val="22"/>
          <w:szCs w:val="22"/>
          <w:lang w:val="ka-GE"/>
        </w:rPr>
        <w:t xml:space="preserve">პროცენტიანი წილი უკავია. შემდეგ მოდიან: </w:t>
      </w:r>
      <w:r w:rsidR="0017637B" w:rsidRPr="00B07293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B07293">
        <w:rPr>
          <w:rFonts w:ascii="Sylfaen" w:hAnsi="Sylfaen" w:cs="Sylfaen"/>
          <w:sz w:val="22"/>
          <w:szCs w:val="22"/>
          <w:lang w:val="ka-GE"/>
        </w:rPr>
        <w:t xml:space="preserve">მსუბუქი ავტომობილები </w:t>
      </w:r>
      <w:r w:rsidR="00B07293">
        <w:rPr>
          <w:rFonts w:ascii="Sylfaen" w:hAnsi="Sylfaen" w:cs="Sylfaen"/>
          <w:sz w:val="22"/>
          <w:szCs w:val="22"/>
          <w:lang w:val="ka-GE"/>
        </w:rPr>
        <w:t>7</w:t>
      </w:r>
      <w:r w:rsidRPr="00B07293">
        <w:rPr>
          <w:rFonts w:ascii="Sylfaen" w:hAnsi="Sylfaen" w:cs="Sylfaen"/>
          <w:sz w:val="22"/>
          <w:szCs w:val="22"/>
          <w:lang w:val="ka-GE"/>
        </w:rPr>
        <w:t>.</w:t>
      </w:r>
      <w:r w:rsidR="00B07293">
        <w:rPr>
          <w:rFonts w:ascii="Sylfaen" w:hAnsi="Sylfaen" w:cs="Sylfaen"/>
          <w:sz w:val="22"/>
          <w:szCs w:val="22"/>
          <w:lang w:val="ka-GE"/>
        </w:rPr>
        <w:t>4</w:t>
      </w:r>
      <w:r w:rsidRPr="00B07293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067CA5" w:rsidRPr="00B07293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0F3BF5" w:rsidRPr="00B07293">
        <w:rPr>
          <w:rFonts w:ascii="Sylfaen" w:hAnsi="Sylfaen" w:cs="Sylfaen"/>
          <w:sz w:val="22"/>
          <w:szCs w:val="22"/>
          <w:lang w:val="ka-GE"/>
        </w:rPr>
        <w:t xml:space="preserve">სპილენძის მადნები </w:t>
      </w:r>
      <w:r w:rsidR="00B07293">
        <w:rPr>
          <w:rFonts w:ascii="Sylfaen" w:hAnsi="Sylfaen" w:cs="Sylfaen"/>
          <w:sz w:val="22"/>
          <w:szCs w:val="22"/>
          <w:lang w:val="ka-GE"/>
        </w:rPr>
        <w:t>6</w:t>
      </w:r>
      <w:r w:rsidR="000F3BF5" w:rsidRPr="00B07293">
        <w:rPr>
          <w:rFonts w:ascii="Sylfaen" w:hAnsi="Sylfaen" w:cs="Sylfaen"/>
          <w:sz w:val="22"/>
          <w:szCs w:val="22"/>
          <w:lang w:val="ka-GE"/>
        </w:rPr>
        <w:t>.</w:t>
      </w:r>
      <w:r w:rsidR="00B07293">
        <w:rPr>
          <w:rFonts w:ascii="Sylfaen" w:hAnsi="Sylfaen" w:cs="Sylfaen"/>
          <w:sz w:val="22"/>
          <w:szCs w:val="22"/>
          <w:lang w:val="ka-GE"/>
        </w:rPr>
        <w:t>4</w:t>
      </w:r>
      <w:r w:rsidR="000F3BF5" w:rsidRPr="00B07293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="00B07293">
        <w:rPr>
          <w:rFonts w:ascii="Sylfaen" w:hAnsi="Sylfaen" w:cs="Sylfaen"/>
          <w:sz w:val="22"/>
          <w:szCs w:val="22"/>
          <w:lang w:val="ka-GE"/>
        </w:rPr>
        <w:t>, მედიკამენტები 4.3 პროცენტი</w:t>
      </w:r>
      <w:r w:rsidR="000F3BF5" w:rsidRPr="00B07293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067CA5" w:rsidRPr="00B07293">
        <w:rPr>
          <w:rFonts w:ascii="Sylfaen" w:hAnsi="Sylfaen" w:cs="Sylfaen"/>
          <w:sz w:val="22"/>
          <w:szCs w:val="22"/>
          <w:lang w:val="ka-GE"/>
        </w:rPr>
        <w:t xml:space="preserve">ნავთობის აირები  </w:t>
      </w:r>
      <w:r w:rsidR="00B07293">
        <w:rPr>
          <w:rFonts w:ascii="Sylfaen" w:hAnsi="Sylfaen" w:cs="Sylfaen"/>
          <w:sz w:val="22"/>
          <w:szCs w:val="22"/>
          <w:lang w:val="ka-GE"/>
        </w:rPr>
        <w:t>4</w:t>
      </w:r>
      <w:r w:rsidR="00067CA5" w:rsidRPr="00B07293">
        <w:rPr>
          <w:rFonts w:ascii="Sylfaen" w:hAnsi="Sylfaen" w:cs="Sylfaen"/>
          <w:sz w:val="22"/>
          <w:szCs w:val="22"/>
          <w:lang w:val="ka-GE"/>
        </w:rPr>
        <w:t>.</w:t>
      </w:r>
      <w:r w:rsidR="00B07293">
        <w:rPr>
          <w:rFonts w:ascii="Sylfaen" w:hAnsi="Sylfaen" w:cs="Sylfaen"/>
          <w:sz w:val="22"/>
          <w:szCs w:val="22"/>
          <w:lang w:val="ka-GE"/>
        </w:rPr>
        <w:t>3</w:t>
      </w:r>
      <w:r w:rsidR="00067CA5" w:rsidRPr="00B07293">
        <w:rPr>
          <w:rFonts w:ascii="Sylfaen" w:hAnsi="Sylfaen" w:cs="Sylfaen"/>
          <w:sz w:val="22"/>
          <w:szCs w:val="22"/>
          <w:lang w:val="ka-GE"/>
        </w:rPr>
        <w:t xml:space="preserve"> პროცენტი</w:t>
      </w:r>
      <w:r w:rsidRPr="00B07293">
        <w:rPr>
          <w:rFonts w:ascii="Sylfaen" w:hAnsi="Sylfaen" w:cs="Sylfaen"/>
          <w:sz w:val="22"/>
          <w:szCs w:val="22"/>
          <w:lang w:val="ka-GE"/>
        </w:rPr>
        <w:t xml:space="preserve">. </w:t>
      </w:r>
    </w:p>
    <w:p w:rsidR="00B07293" w:rsidRPr="00C76FF0" w:rsidRDefault="00B07293" w:rsidP="00C86A2A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C76FF0">
        <w:rPr>
          <w:rFonts w:ascii="Sylfaen" w:hAnsi="Sylfaen" w:cs="Sylfaen"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:rsidR="00C76FF0" w:rsidRPr="005C4242" w:rsidRDefault="00C76FF0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C4242">
        <w:rPr>
          <w:rFonts w:ascii="Sylfaen" w:hAnsi="Sylfaen" w:cs="Sylfaen"/>
          <w:sz w:val="22"/>
          <w:szCs w:val="22"/>
          <w:lang w:val="ka-GE"/>
        </w:rPr>
        <w:t>ექსპორტის 16.</w:t>
      </w:r>
      <w:r>
        <w:rPr>
          <w:rFonts w:ascii="Sylfaen" w:hAnsi="Sylfaen" w:cs="Sylfaen"/>
          <w:sz w:val="22"/>
          <w:szCs w:val="22"/>
          <w:lang w:val="en-US"/>
        </w:rPr>
        <w:t>1</w:t>
      </w:r>
      <w:r w:rsidRPr="005C4242">
        <w:rPr>
          <w:rFonts w:ascii="Sylfaen" w:hAnsi="Sylfaen" w:cs="Sylfaen"/>
          <w:sz w:val="22"/>
          <w:szCs w:val="22"/>
          <w:lang w:val="ka-GE"/>
        </w:rPr>
        <w:t>%-იან ზრდაში მთავარი წვლილი შეიტანა მადნებმა და სპილენძის კონცენტრატებმა (72.3%-იანი ზრდა), პალტოებმა და ანალოგიურმა ნაწარმმა (221.82%-იანი ზრდა), ტურბორეაქტიულმა ძრავებმა (175.0%-იანი ზრდა). კლების მიმართულებით მთავარი წვლილი შეიტანა ნავთობმა და ნავთობპროდუქტებმა (83.8%-იანი კლება), ეთილის სპირტმა (62.0%-იანი კლება),  სასუქებმა (48.9%-იანი კლება).</w:t>
      </w:r>
    </w:p>
    <w:p w:rsidR="00C76FF0" w:rsidRPr="00B6143D" w:rsidRDefault="00C76FF0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5C4242">
        <w:rPr>
          <w:rFonts w:ascii="Sylfaen" w:hAnsi="Sylfaen" w:cs="Sylfaen"/>
          <w:sz w:val="22"/>
          <w:szCs w:val="22"/>
          <w:lang w:val="ka-GE"/>
        </w:rPr>
        <w:t xml:space="preserve">იმპორტის </w:t>
      </w:r>
      <w:r>
        <w:rPr>
          <w:rFonts w:ascii="Sylfaen" w:hAnsi="Sylfaen" w:cs="Sylfaen"/>
          <w:sz w:val="22"/>
          <w:szCs w:val="22"/>
          <w:lang w:val="ka-GE"/>
        </w:rPr>
        <w:t>10.8</w:t>
      </w:r>
      <w:r w:rsidRPr="00B6143D">
        <w:rPr>
          <w:rFonts w:ascii="Sylfaen" w:hAnsi="Sylfaen" w:cs="Sylfaen"/>
          <w:sz w:val="22"/>
          <w:szCs w:val="22"/>
          <w:lang w:val="ka-GE"/>
        </w:rPr>
        <w:t>%-იან კლებაში მთავარი წვლილი შეიტანა ერთჯერადმა ფაქტორებმა, ტურბორეაქტიულმა ძრავებმა (99.8%-იანი კლება), ნავთობმა და ნავთობპროდუქტებმა (17.7%-იანი კლება), საატრაქციონე საქონელმა (84.1%-იანი კლება). ზრდის მიმართულებით მთავარი წვლილი შეიტანა მსუბუქმა ავტომობილებმა (97.1%-იანი ზრდა), სხვადასხვა მექანიზმებმა (1201.6%-იანი ზრდა), ავტობუსებმა და სამარშრუტო ავტომობილებმა (640.2%-იანი ზრდა).</w:t>
      </w:r>
    </w:p>
    <w:p w:rsidR="00B07293" w:rsidRPr="005A4D92" w:rsidRDefault="00B07293" w:rsidP="00C86A2A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5A4D92">
        <w:rPr>
          <w:rFonts w:ascii="Sylfaen" w:hAnsi="Sylfaen" w:cs="Sylfaen"/>
          <w:i/>
          <w:sz w:val="22"/>
          <w:szCs w:val="22"/>
          <w:lang w:val="ka-GE"/>
        </w:rPr>
        <w:t>თურქეთთან ვაჭრობაში</w:t>
      </w:r>
    </w:p>
    <w:p w:rsidR="00C76FF0" w:rsidRPr="00B6143D" w:rsidRDefault="00C76FF0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6143D">
        <w:rPr>
          <w:rFonts w:ascii="Sylfaen" w:hAnsi="Sylfaen" w:cs="Sylfaen"/>
          <w:sz w:val="22"/>
          <w:szCs w:val="22"/>
          <w:lang w:val="ka-GE"/>
        </w:rPr>
        <w:t>ექსპორტის 22</w:t>
      </w:r>
      <w:r w:rsidRPr="00B6143D">
        <w:rPr>
          <w:rFonts w:ascii="Sylfaen" w:hAnsi="Sylfaen" w:cs="Sylfaen"/>
          <w:sz w:val="22"/>
          <w:szCs w:val="22"/>
          <w:lang w:val="en-US"/>
        </w:rPr>
        <w:t>.</w:t>
      </w:r>
      <w:r w:rsidRPr="00B6143D">
        <w:rPr>
          <w:rFonts w:ascii="Sylfaen" w:hAnsi="Sylfaen" w:cs="Sylfaen"/>
          <w:sz w:val="22"/>
          <w:szCs w:val="22"/>
          <w:lang w:val="ka-GE"/>
        </w:rPr>
        <w:t xml:space="preserve">2%-იან კლებაში მთავარი წვლილი შეიტანა ფეროშენადნობებმა (43.8%-იანი კლება), ელექტროენერგიამ (66.1%-იანი კლება), ხორცისა და თევზის გრანულებმა (57.8%-იანი კლება). ზრდის მიმართულებით მთავარი წვლილი შეიტანა ფოლადის ნახევარფაბრიკატებმა (34.7%-იანი ზრდა), </w:t>
      </w:r>
      <w:r w:rsidRPr="00B6143D">
        <w:rPr>
          <w:rFonts w:ascii="Sylfaen" w:hAnsi="Sylfaen" w:cs="Sylfaen"/>
          <w:sz w:val="22"/>
          <w:szCs w:val="22"/>
          <w:lang w:val="ka-GE"/>
        </w:rPr>
        <w:br/>
        <w:t>ტანსაცმელმა (68.2%-იანი ზრდა), დაუმუშავებელმა ტყვიამ (48.3%-იანი ზრდა).</w:t>
      </w:r>
    </w:p>
    <w:p w:rsidR="00B07293" w:rsidRDefault="00C76FF0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B076A0">
        <w:rPr>
          <w:rFonts w:ascii="Sylfaen" w:hAnsi="Sylfaen" w:cs="Sylfaen"/>
          <w:sz w:val="22"/>
          <w:szCs w:val="22"/>
          <w:lang w:val="ka-GE"/>
        </w:rPr>
        <w:t xml:space="preserve">იმპორტის 2.6%-იან ზრდაში მთავარი წვლილი შეიტანა სამკურნალო საშუალებებმა (66.0%-იანი ზრდა), მსუბუქმა ავტომობილებმა (83.7%-იანი ზრდა), ნავთობმა და ნავთობპროდუქტებმა (299.1%-იანი </w:t>
      </w:r>
      <w:r w:rsidRPr="00F57E28">
        <w:rPr>
          <w:rFonts w:ascii="Sylfaen" w:hAnsi="Sylfaen" w:cs="Sylfaen"/>
          <w:sz w:val="22"/>
          <w:szCs w:val="22"/>
          <w:lang w:val="ka-GE"/>
        </w:rPr>
        <w:t xml:space="preserve">ზრდა). კლების მიმართულებით მთავარი წვლილი შეიტანა შავი ლითონის მილებმა (41.0%-იანი კლება), ცემენტმა (58.9%-იანი </w:t>
      </w:r>
      <w:r w:rsidRPr="00866F01">
        <w:rPr>
          <w:rFonts w:ascii="Sylfaen" w:hAnsi="Sylfaen" w:cs="Sylfaen"/>
          <w:sz w:val="22"/>
          <w:szCs w:val="22"/>
          <w:lang w:val="ka-GE"/>
        </w:rPr>
        <w:t>კლება), საბურავებმა (31.3%-იანი კლება).</w:t>
      </w:r>
    </w:p>
    <w:p w:rsidR="00B07293" w:rsidRPr="005A4D92" w:rsidRDefault="00B07293" w:rsidP="00C86A2A">
      <w:pPr>
        <w:ind w:firstLine="720"/>
        <w:jc w:val="both"/>
        <w:rPr>
          <w:rFonts w:ascii="Sylfaen" w:hAnsi="Sylfaen" w:cs="Sylfaen"/>
          <w:i/>
          <w:sz w:val="22"/>
          <w:szCs w:val="22"/>
          <w:lang w:val="ka-GE"/>
        </w:rPr>
      </w:pPr>
      <w:r w:rsidRPr="005A4D92">
        <w:rPr>
          <w:rFonts w:ascii="Sylfaen" w:hAnsi="Sylfaen" w:cs="Sylfaen"/>
          <w:i/>
          <w:sz w:val="22"/>
          <w:szCs w:val="22"/>
          <w:lang w:val="ka-GE"/>
        </w:rPr>
        <w:t xml:space="preserve">რუსეთთან ვაჭრობაში </w:t>
      </w:r>
    </w:p>
    <w:p w:rsidR="00C76FF0" w:rsidRPr="00866F01" w:rsidRDefault="00C76FF0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66F01">
        <w:rPr>
          <w:rFonts w:ascii="Sylfaen" w:hAnsi="Sylfaen" w:cs="Sylfaen"/>
          <w:sz w:val="22"/>
          <w:szCs w:val="22"/>
          <w:lang w:val="ka-GE"/>
        </w:rPr>
        <w:t>ექსპორტის 27.7%-იან ზრდაში მთავარი წვლილი შეიტანა ცენტრიფუგებმა (222.5%-იანი ზრდა), ფეროშენადნობებმა (13.1%-იანი ზრდა), სამკურნალო საშუალებებმა (247.1%-იანი ზრდა). კლების მიმართულებით მთავარი წვლილი შეიტანა ავტონაწილებმა (97.3%-იანი კლება), თხილმა და კაკალმა (61.3%-იანი კლება), პომიდორმა (56.9%-იანი კლება).</w:t>
      </w:r>
    </w:p>
    <w:p w:rsidR="00C76FF0" w:rsidRDefault="00C76FF0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66F01">
        <w:rPr>
          <w:rFonts w:ascii="Sylfaen" w:hAnsi="Sylfaen" w:cs="Sylfaen"/>
          <w:sz w:val="22"/>
          <w:szCs w:val="22"/>
          <w:lang w:val="ka-GE"/>
        </w:rPr>
        <w:t>იმპორტის 6.3%-იან კლებაში მთავარი წვლილი შეიტანა ხორბალმა (3.7%-იანი კლება), მანქანების სპეციფიკურმა მასალებმა (92.7%-იანი კლება), ნავთობმა და ნავთობპროდუქტებმა (4.9%-იანი კლება). ზრდის მიმართულებით მთავარი წვლილი შეიტანა ნავთობის აირებმა (66.6%-იანი ზრდა), ბოცებმა და ბოთლებმა (42.4%-იანი ზრდა), თმის საშუალებებმა (66.8%-იანი ზრდა).</w:t>
      </w:r>
    </w:p>
    <w:p w:rsidR="0017637B" w:rsidRPr="00946034" w:rsidRDefault="0017637B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D911DC" w:rsidRPr="00946034" w:rsidRDefault="00D911DC" w:rsidP="00C86A2A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ფულადი გზავნილები</w:t>
      </w:r>
    </w:p>
    <w:p w:rsidR="00D911DC" w:rsidRPr="00A13C3F" w:rsidRDefault="00D911DC" w:rsidP="00C86A2A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  <w:t>201</w:t>
      </w:r>
      <w:r w:rsidR="00392103">
        <w:rPr>
          <w:rFonts w:ascii="Sylfaen" w:eastAsia="Sylfaen" w:hAnsi="Sylfaen" w:cs="Sylfaen"/>
          <w:sz w:val="22"/>
          <w:szCs w:val="22"/>
          <w:lang w:val="ka-GE"/>
        </w:rPr>
        <w:t>9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წლის </w:t>
      </w:r>
      <w:r w:rsidR="00380CFE" w:rsidRPr="00946034">
        <w:rPr>
          <w:rFonts w:ascii="Sylfaen" w:eastAsia="Sylfaen" w:hAnsi="Sylfaen" w:cs="Sylfaen"/>
          <w:sz w:val="22"/>
          <w:szCs w:val="22"/>
          <w:lang w:val="ka-GE"/>
        </w:rPr>
        <w:t>იანვარ-ივნისში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C84E9F" w:rsidRPr="00946034">
        <w:rPr>
          <w:rFonts w:ascii="Sylfaen" w:eastAsia="Sylfaen" w:hAnsi="Sylfaen" w:cs="Sylfaen"/>
          <w:sz w:val="22"/>
          <w:szCs w:val="22"/>
          <w:lang w:val="ka-GE"/>
        </w:rPr>
        <w:t xml:space="preserve">წმინდა 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ფულადი </w:t>
      </w:r>
      <w:r w:rsidR="00C84E9F" w:rsidRPr="00946034">
        <w:rPr>
          <w:rFonts w:ascii="Sylfaen" w:eastAsia="Sylfaen" w:hAnsi="Sylfaen" w:cs="Sylfaen"/>
          <w:sz w:val="22"/>
          <w:szCs w:val="22"/>
          <w:lang w:val="en-US"/>
        </w:rPr>
        <w:t xml:space="preserve">გზავნილები წინა წლის შესაბამის პერიოდთან </w:t>
      </w:r>
      <w:r w:rsidR="00C84E9F" w:rsidRPr="00946034">
        <w:rPr>
          <w:rFonts w:ascii="Sylfaen" w:eastAsia="Sylfaen" w:hAnsi="Sylfaen" w:cs="Sylfaen"/>
          <w:sz w:val="22"/>
          <w:szCs w:val="22"/>
          <w:lang w:val="en-US"/>
        </w:rPr>
        <w:lastRenderedPageBreak/>
        <w:t xml:space="preserve">შედარებით </w:t>
      </w:r>
      <w:r w:rsidR="00BE2AAE" w:rsidRPr="00946034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C84E9F"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C84E9F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</w:t>
      </w:r>
      <w:r w:rsidR="00C84E9F" w:rsidRPr="00946034">
        <w:rPr>
          <w:rFonts w:ascii="Sylfaen" w:eastAsia="Sylfaen" w:hAnsi="Sylfaen" w:cs="Sylfaen"/>
          <w:sz w:val="22"/>
          <w:szCs w:val="22"/>
          <w:lang w:val="ka-GE"/>
        </w:rPr>
        <w:t>ოცენტით გაიზარდა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 xml:space="preserve"> და 697.3 მლნ აშშ დოლარი შეადგინა (60.8 მლნ აშშ დოლარით მეტი)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. წმინდა ფულადი გზავნილები </w:t>
      </w:r>
      <w:r w:rsidR="00C84E9F" w:rsidRPr="00946034">
        <w:rPr>
          <w:rFonts w:ascii="Sylfaen" w:eastAsia="Sylfaen" w:hAnsi="Sylfaen" w:cs="Sylfaen"/>
          <w:sz w:val="22"/>
          <w:szCs w:val="22"/>
          <w:lang w:val="ka-GE"/>
        </w:rPr>
        <w:t>გა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>ი</w:t>
      </w:r>
      <w:r w:rsidR="00C84E9F" w:rsidRPr="00946034">
        <w:rPr>
          <w:rFonts w:ascii="Sylfaen" w:eastAsia="Sylfaen" w:hAnsi="Sylfaen" w:cs="Sylfaen"/>
          <w:sz w:val="22"/>
          <w:szCs w:val="22"/>
          <w:lang w:val="ka-GE"/>
        </w:rPr>
        <w:t>ზ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C84E9F" w:rsidRPr="00946034">
        <w:rPr>
          <w:rFonts w:ascii="Sylfaen" w:eastAsia="Sylfaen" w:hAnsi="Sylfaen" w:cs="Sylfaen"/>
          <w:sz w:val="22"/>
          <w:szCs w:val="22"/>
          <w:lang w:val="ka-GE"/>
        </w:rPr>
        <w:t>რდა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: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იტალიიდან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>25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 xml:space="preserve"> და 110.1 მლნ აშშ დოლარი შ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ე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>ადგინ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(2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>2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56CAC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A1142C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1142C" w:rsidRPr="00946034">
        <w:rPr>
          <w:rFonts w:ascii="Sylfaen" w:eastAsia="Sylfaen" w:hAnsi="Sylfaen" w:cs="Sylfaen"/>
          <w:sz w:val="22"/>
          <w:szCs w:val="22"/>
          <w:lang w:val="ka-GE"/>
        </w:rPr>
        <w:t>მეტი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)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აშშ-</w:t>
      </w:r>
      <w:r w:rsidR="006215A8" w:rsidRPr="00946034">
        <w:rPr>
          <w:rFonts w:ascii="Sylfaen" w:eastAsia="Sylfaen" w:hAnsi="Sylfaen" w:cs="Sylfaen"/>
          <w:sz w:val="22"/>
          <w:szCs w:val="22"/>
          <w:lang w:val="en-US"/>
        </w:rPr>
        <w:t>დან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2546C" w:rsidRPr="00946034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18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 xml:space="preserve">და 83.5 მლნ აშშ დოლარი შეადგინა 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(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2.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, 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საბერძნეთიდან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A2546C" w:rsidRPr="00946034">
        <w:rPr>
          <w:rFonts w:ascii="Sylfaen" w:eastAsia="Sylfaen" w:hAnsi="Sylfaen" w:cs="Sylfaen"/>
          <w:sz w:val="22"/>
          <w:szCs w:val="22"/>
          <w:lang w:val="ka-GE"/>
        </w:rPr>
        <w:t xml:space="preserve">-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5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3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 xml:space="preserve"> და 89.0 მლნ აშშ დოლარი შეადგინა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(1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1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F45098" w:rsidRPr="00946034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დოლარით)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შემცირდა: რუსეთიდან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1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61.5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ე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>ადგინ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ა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 (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7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5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ნაკლები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),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თურქეთიდან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 -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33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 პროცენტით და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32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 შეადგინა (1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6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0</w:t>
      </w:r>
      <w:r w:rsidR="00A13C3F" w:rsidRPr="00A13C3F">
        <w:rPr>
          <w:rFonts w:ascii="Sylfaen" w:eastAsia="Sylfaen" w:hAnsi="Sylfaen" w:cs="Sylfaen"/>
          <w:sz w:val="22"/>
          <w:szCs w:val="22"/>
          <w:lang w:val="ka-GE"/>
        </w:rPr>
        <w:t xml:space="preserve"> მლნ აშშ დოლარით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).</w:t>
      </w:r>
    </w:p>
    <w:p w:rsidR="00366E77" w:rsidRPr="00946034" w:rsidRDefault="00366E77" w:rsidP="00C86A2A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</w:p>
    <w:p w:rsidR="00366E77" w:rsidRPr="00946034" w:rsidRDefault="00366E77" w:rsidP="00C86A2A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i/>
          <w:color w:val="000000"/>
          <w:sz w:val="22"/>
          <w:szCs w:val="22"/>
          <w:lang w:val="ka-GE"/>
        </w:rPr>
        <w:tab/>
      </w: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ტურიზმი</w:t>
      </w:r>
    </w:p>
    <w:p w:rsidR="008432BA" w:rsidRPr="00946034" w:rsidRDefault="00366E77" w:rsidP="00C86A2A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>201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9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წლის იანვარ-ივნისში, საქართველოს 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A4781">
        <w:rPr>
          <w:rFonts w:ascii="Sylfaen" w:eastAsia="Sylfaen" w:hAnsi="Sylfaen" w:cs="Sylfaen"/>
          <w:sz w:val="22"/>
          <w:szCs w:val="22"/>
          <w:lang w:val="ka-GE"/>
        </w:rPr>
        <w:t>862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ათასი 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 xml:space="preserve">საერთაშორისო </w:t>
      </w:r>
      <w:r w:rsidR="006A4781">
        <w:rPr>
          <w:rFonts w:ascii="Sylfaen" w:eastAsia="Sylfaen" w:hAnsi="Sylfaen" w:cs="Sylfaen"/>
          <w:sz w:val="22"/>
          <w:szCs w:val="22"/>
          <w:lang w:val="ka-GE"/>
        </w:rPr>
        <w:t xml:space="preserve">მოგზაურების 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>ვიზიტორი ეწვია (201</w:t>
      </w:r>
      <w:r w:rsidR="00A13C3F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წლის 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>ექვსი თვის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მონაცემებით, ვიზიტორების რაოდენობა </w:t>
      </w:r>
      <w:r w:rsidR="006A4781">
        <w:rPr>
          <w:rFonts w:ascii="Sylfaen" w:eastAsia="Sylfaen" w:hAnsi="Sylfaen" w:cs="Sylfaen"/>
          <w:sz w:val="22"/>
          <w:szCs w:val="22"/>
          <w:lang w:val="ka-GE"/>
        </w:rPr>
        <w:t>3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r w:rsidR="006A4781">
        <w:rPr>
          <w:rFonts w:ascii="Sylfaen" w:eastAsia="Sylfaen" w:hAnsi="Sylfaen" w:cs="Sylfaen"/>
          <w:sz w:val="22"/>
          <w:szCs w:val="22"/>
          <w:lang w:val="ka-GE"/>
        </w:rPr>
        <w:t>562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ათასს შეადგენდა), რაც გასული წლის ანალოგიურ მონაცემს </w:t>
      </w:r>
      <w:r w:rsidR="006A4781">
        <w:rPr>
          <w:rFonts w:ascii="Sylfaen" w:eastAsia="Sylfaen" w:hAnsi="Sylfaen" w:cs="Sylfaen"/>
          <w:sz w:val="22"/>
          <w:szCs w:val="22"/>
          <w:lang w:val="ka-GE"/>
        </w:rPr>
        <w:t>8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6A4781">
        <w:rPr>
          <w:rFonts w:ascii="Sylfaen" w:eastAsia="Sylfaen" w:hAnsi="Sylfaen" w:cs="Sylfaen"/>
          <w:sz w:val="22"/>
          <w:szCs w:val="22"/>
          <w:lang w:val="ka-GE"/>
        </w:rPr>
        <w:t>4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აღემატება</w:t>
      </w:r>
      <w:r w:rsidR="006A4781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6A4781" w:rsidRPr="006A4781">
        <w:rPr>
          <w:rFonts w:ascii="Sylfaen" w:eastAsia="Sylfaen" w:hAnsi="Sylfaen" w:cs="Sylfaen"/>
          <w:sz w:val="22"/>
          <w:szCs w:val="22"/>
          <w:lang w:val="en-US"/>
        </w:rPr>
        <w:t>(წყარო: საქართველოს ტურიზმის ეროვნული ადმინისტრაცია)</w:t>
      </w:r>
      <w:r w:rsidR="006A4781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8432BA"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</w:p>
    <w:p w:rsidR="00366E77" w:rsidRPr="00946034" w:rsidRDefault="008432BA" w:rsidP="00C86A2A">
      <w:pPr>
        <w:widowControl w:val="0"/>
        <w:tabs>
          <w:tab w:val="decimal" w:pos="0"/>
        </w:tabs>
        <w:spacing w:before="50"/>
        <w:jc w:val="both"/>
        <w:rPr>
          <w:rFonts w:ascii="Sylfaen" w:eastAsia="Sylfaen" w:hAnsi="Sylfaen" w:cs="Sylfaen"/>
          <w:sz w:val="22"/>
          <w:szCs w:val="22"/>
          <w:lang w:val="en-US"/>
        </w:rPr>
      </w:pPr>
      <w:r w:rsidRPr="00946034">
        <w:rPr>
          <w:rFonts w:ascii="Sylfaen" w:eastAsia="Sylfaen" w:hAnsi="Sylfaen" w:cs="Sylfaen"/>
          <w:sz w:val="22"/>
          <w:szCs w:val="22"/>
          <w:lang w:val="en-US"/>
        </w:rPr>
        <w:tab/>
        <w:t xml:space="preserve">ტურიზმიდან მიღებულმა შემოსავლებმა </w:t>
      </w:r>
      <w:r w:rsidR="003D0217" w:rsidRPr="00946034">
        <w:rPr>
          <w:rFonts w:ascii="Sylfaen" w:eastAsia="Sylfaen" w:hAnsi="Sylfaen" w:cs="Sylfaen"/>
          <w:sz w:val="22"/>
          <w:szCs w:val="22"/>
          <w:lang w:val="ka-GE"/>
        </w:rPr>
        <w:t xml:space="preserve">1 </w:t>
      </w:r>
      <w:r w:rsidR="00AF7CE9">
        <w:rPr>
          <w:rFonts w:ascii="Sylfaen" w:eastAsia="Sylfaen" w:hAnsi="Sylfaen" w:cs="Sylfaen"/>
          <w:sz w:val="22"/>
          <w:szCs w:val="22"/>
          <w:lang w:val="ka-GE"/>
        </w:rPr>
        <w:t>456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F7CE9">
        <w:rPr>
          <w:rFonts w:ascii="Sylfaen" w:eastAsia="Sylfaen" w:hAnsi="Sylfaen" w:cs="Sylfaen"/>
          <w:sz w:val="22"/>
          <w:szCs w:val="22"/>
          <w:lang w:val="ka-GE"/>
        </w:rPr>
        <w:t>1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მლნ აშშ დოლარი შეადგინა, რაც </w:t>
      </w:r>
      <w:r w:rsidR="00AF7CE9">
        <w:rPr>
          <w:rFonts w:ascii="Sylfaen" w:eastAsia="Sylfaen" w:hAnsi="Sylfaen" w:cs="Sylfaen"/>
          <w:sz w:val="22"/>
          <w:szCs w:val="22"/>
          <w:lang w:val="ka-GE"/>
        </w:rPr>
        <w:t>7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F7CE9">
        <w:rPr>
          <w:rFonts w:ascii="Sylfaen" w:eastAsia="Sylfaen" w:hAnsi="Sylfaen" w:cs="Sylfaen"/>
          <w:sz w:val="22"/>
          <w:szCs w:val="22"/>
          <w:lang w:val="ka-GE"/>
        </w:rPr>
        <w:t>0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პროცენტით (</w:t>
      </w:r>
      <w:r w:rsidR="00AF7CE9">
        <w:rPr>
          <w:rFonts w:ascii="Sylfaen" w:eastAsia="Sylfaen" w:hAnsi="Sylfaen" w:cs="Sylfaen"/>
          <w:sz w:val="22"/>
          <w:szCs w:val="22"/>
          <w:lang w:val="ka-GE"/>
        </w:rPr>
        <w:t>95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>.</w:t>
      </w:r>
      <w:r w:rsidR="00AF7CE9">
        <w:rPr>
          <w:rFonts w:ascii="Sylfaen" w:eastAsia="Sylfaen" w:hAnsi="Sylfaen" w:cs="Sylfaen"/>
          <w:sz w:val="22"/>
          <w:szCs w:val="22"/>
          <w:lang w:val="ka-GE"/>
        </w:rPr>
        <w:t>4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 მლნ აშშ დოლარით მეტი) აღემატება გასული წლის მაჩვენებელს</w:t>
      </w:r>
      <w:r w:rsidR="006A4781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6A4781" w:rsidRPr="006A4781">
        <w:rPr>
          <w:rFonts w:ascii="Sylfaen" w:eastAsia="Sylfaen" w:hAnsi="Sylfaen" w:cs="Sylfaen"/>
          <w:sz w:val="22"/>
          <w:szCs w:val="22"/>
          <w:lang w:val="en-US"/>
        </w:rPr>
        <w:t>(წყარო: საქართველოს ეროვნული ბანკი)</w:t>
      </w:r>
      <w:r w:rsidRPr="00946034">
        <w:rPr>
          <w:rFonts w:ascii="Sylfaen" w:eastAsia="Sylfaen" w:hAnsi="Sylfaen" w:cs="Sylfaen"/>
          <w:sz w:val="22"/>
          <w:szCs w:val="22"/>
          <w:lang w:val="en-US"/>
        </w:rPr>
        <w:t xml:space="preserve">.  </w:t>
      </w:r>
    </w:p>
    <w:p w:rsidR="00A31320" w:rsidRPr="00946034" w:rsidRDefault="00A31320" w:rsidP="00C86A2A">
      <w:pPr>
        <w:pStyle w:val="BodyTextIndent2"/>
        <w:tabs>
          <w:tab w:val="num" w:pos="0"/>
        </w:tabs>
        <w:ind w:firstLine="0"/>
        <w:jc w:val="left"/>
        <w:rPr>
          <w:rFonts w:ascii="Sylfaen" w:eastAsia="Sylfaen" w:hAnsi="Sylfaen" w:cs="Sylfaen"/>
          <w:sz w:val="22"/>
          <w:szCs w:val="22"/>
          <w:lang w:val="ka-GE"/>
        </w:rPr>
      </w:pPr>
      <w:r w:rsidRPr="00946034">
        <w:rPr>
          <w:rFonts w:ascii="Sylfaen" w:eastAsia="Sylfaen" w:hAnsi="Sylfaen" w:cs="Sylfaen"/>
          <w:sz w:val="22"/>
          <w:szCs w:val="22"/>
        </w:rPr>
        <w:tab/>
      </w:r>
    </w:p>
    <w:p w:rsidR="004470D4" w:rsidRPr="00946034" w:rsidRDefault="004470D4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ინფორმაცია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საქართველოს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201</w:t>
      </w:r>
      <w:r w:rsidR="0045732B">
        <w:rPr>
          <w:rFonts w:ascii="Sylfaen" w:hAnsi="Sylfaen" w:cs="Sylfaen"/>
          <w:b/>
          <w:color w:val="000000"/>
          <w:sz w:val="22"/>
          <w:szCs w:val="22"/>
        </w:rPr>
        <w:t>9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</w:t>
      </w:r>
      <w:r w:rsidR="005D7B25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იანვარ-</w:t>
      </w:r>
      <w:r w:rsidR="00D01BBA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ივნისი</w:t>
      </w:r>
      <w:r w:rsidR="005D7B25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ს</w:t>
      </w:r>
      <w:r w:rsidR="003D7EB4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="00560BF9"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ნაერთი ბიუჯეტის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br/>
        <w:t xml:space="preserve"> შემოსავლების  შესრულების შესახებ</w:t>
      </w:r>
    </w:p>
    <w:p w:rsidR="00D01BBA" w:rsidRPr="00946034" w:rsidRDefault="00D01BBA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D01BBA" w:rsidRPr="00946034" w:rsidRDefault="0045732B" w:rsidP="00C86A2A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  <w:r w:rsidRPr="0045732B">
        <w:rPr>
          <w:rFonts w:ascii="Sylfaen" w:hAnsi="Sylfaen" w:cs="Sylfaen"/>
          <w:sz w:val="22"/>
          <w:szCs w:val="22"/>
          <w:lang w:val="ka-GE"/>
        </w:rPr>
        <w:t xml:space="preserve">2019 წლის იანვარ-ივნისის ნაერთი ბიუჯეტის შემოსავლების საპროგნოზო მაჩვენებელი განისაზღვრა </w:t>
      </w:r>
      <w:r w:rsidR="009E3DED" w:rsidRPr="0045732B">
        <w:rPr>
          <w:rFonts w:ascii="Sylfaen" w:hAnsi="Sylfaen" w:cs="Sylfaen"/>
          <w:sz w:val="22"/>
          <w:szCs w:val="22"/>
          <w:lang w:val="ka-GE"/>
        </w:rPr>
        <w:t>5 992 571.5</w:t>
      </w:r>
      <w:r w:rsidRPr="0045732B">
        <w:rPr>
          <w:rFonts w:ascii="Sylfaen" w:hAnsi="Sylfaen" w:cs="Sylfaen"/>
          <w:sz w:val="22"/>
          <w:szCs w:val="22"/>
          <w:lang w:val="ka-GE"/>
        </w:rPr>
        <w:t xml:space="preserve"> ათასი ლარით, საანგარიშო პერიოდში  მობილიზებულ იქნა </w:t>
      </w:r>
      <w:r w:rsidR="009E3DED" w:rsidRPr="0045732B">
        <w:rPr>
          <w:rFonts w:ascii="Sylfaen" w:hAnsi="Sylfaen" w:cs="Sylfaen"/>
          <w:sz w:val="22"/>
          <w:szCs w:val="22"/>
          <w:lang w:val="ka-GE"/>
        </w:rPr>
        <w:t>6 166 952.1</w:t>
      </w:r>
      <w:r w:rsidRPr="0045732B">
        <w:rPr>
          <w:rFonts w:ascii="Sylfaen" w:hAnsi="Sylfaen" w:cs="Sylfaen"/>
          <w:sz w:val="22"/>
          <w:szCs w:val="22"/>
          <w:lang w:val="ka-GE"/>
        </w:rPr>
        <w:t xml:space="preserve"> ათასი ლარი, ანუ საპროგნოზო მაჩვენებლის 102.9%.</w:t>
      </w:r>
    </w:p>
    <w:p w:rsidR="00D01BBA" w:rsidRPr="00946034" w:rsidRDefault="00D01BBA" w:rsidP="00C86A2A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D01BBA" w:rsidRDefault="0045732B" w:rsidP="00C86A2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Cs/>
          <w:color w:val="000000"/>
          <w:sz w:val="22"/>
          <w:szCs w:val="22"/>
          <w:lang w:val="en-US"/>
        </w:rPr>
        <w:t>5 349 700.0</w:t>
      </w:r>
      <w:r w:rsidRPr="002C2800">
        <w:rPr>
          <w:rFonts w:ascii="Sylfaen" w:hAnsi="Sylfaen" w:cs="Arial"/>
          <w:bCs/>
          <w:color w:val="000000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ლარით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5C3C53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იქნა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5 421 492.2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ანუ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101.3</w:t>
      </w:r>
      <w:r w:rsidRPr="005C3C53">
        <w:rPr>
          <w:rFonts w:ascii="Sylfaen" w:hAnsi="Sylfaen" w:cs="Arial"/>
          <w:sz w:val="22"/>
          <w:szCs w:val="22"/>
          <w:lang w:val="ka-GE"/>
        </w:rPr>
        <w:t>%.</w:t>
      </w:r>
    </w:p>
    <w:p w:rsidR="0045732B" w:rsidRPr="00946034" w:rsidRDefault="0045732B" w:rsidP="00C86A2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45732B" w:rsidRDefault="0045732B" w:rsidP="00C86A2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215 000.0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>
        <w:rPr>
          <w:rFonts w:ascii="Sylfaen" w:hAnsi="Sylfaen" w:cs="Arial"/>
          <w:sz w:val="22"/>
          <w:szCs w:val="22"/>
          <w:lang w:val="ka-GE"/>
        </w:rPr>
        <w:t xml:space="preserve">ლარით, </w:t>
      </w:r>
      <w:r w:rsidRPr="005C3C53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იქნა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260 652.</w:t>
      </w:r>
      <w:r w:rsidR="009E3DED">
        <w:rPr>
          <w:rFonts w:ascii="Sylfaen" w:hAnsi="Sylfaen" w:cs="Arial"/>
          <w:sz w:val="22"/>
          <w:szCs w:val="22"/>
          <w:lang w:val="ka-GE"/>
        </w:rPr>
        <w:t>2</w:t>
      </w:r>
      <w:r>
        <w:rPr>
          <w:rFonts w:ascii="Sylfaen" w:hAnsi="Sylfaen" w:cs="Arial"/>
          <w:sz w:val="22"/>
          <w:szCs w:val="22"/>
          <w:lang w:val="en-US"/>
        </w:rPr>
        <w:t xml:space="preserve"> 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ანუ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121.2</w:t>
      </w:r>
      <w:r w:rsidRPr="005C3C53">
        <w:rPr>
          <w:rFonts w:ascii="Sylfaen" w:hAnsi="Sylfaen" w:cs="Arial"/>
          <w:sz w:val="22"/>
          <w:szCs w:val="22"/>
          <w:lang w:val="ka-GE"/>
        </w:rPr>
        <w:t>%.</w:t>
      </w:r>
    </w:p>
    <w:p w:rsidR="00D01BBA" w:rsidRPr="00946034" w:rsidRDefault="00D01BBA" w:rsidP="00C86A2A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5732B" w:rsidRDefault="0045732B" w:rsidP="00C86A2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5C3C53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განისაზღვრა</w:t>
      </w:r>
      <w:r>
        <w:rPr>
          <w:rFonts w:ascii="Sylfaen" w:hAnsi="Sylfaen" w:cs="Sylfaen"/>
          <w:sz w:val="22"/>
          <w:szCs w:val="22"/>
          <w:lang w:val="ka-GE"/>
        </w:rPr>
        <w:t xml:space="preserve">  </w:t>
      </w:r>
      <w:r>
        <w:rPr>
          <w:rFonts w:ascii="Sylfaen" w:hAnsi="Sylfaen" w:cs="Sylfaen"/>
          <w:sz w:val="22"/>
          <w:szCs w:val="22"/>
          <w:lang w:val="en-US"/>
        </w:rPr>
        <w:t>427 871.5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ლარით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იქნა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484 807.7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ათასი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ანუ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113.3</w:t>
      </w:r>
      <w:r w:rsidRPr="005C3C53">
        <w:rPr>
          <w:rFonts w:ascii="Sylfaen" w:hAnsi="Sylfaen" w:cs="Arial"/>
          <w:sz w:val="22"/>
          <w:szCs w:val="22"/>
          <w:lang w:val="ka-GE"/>
        </w:rPr>
        <w:t>%.</w:t>
      </w:r>
    </w:p>
    <w:p w:rsidR="00D01BBA" w:rsidRPr="00946034" w:rsidRDefault="00D01BBA" w:rsidP="00C86A2A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45732B" w:rsidRPr="00C72373" w:rsidRDefault="0045732B" w:rsidP="00C86A2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5C3C53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იქნა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82 140.3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ათასი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რაც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64 100.0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128.1</w:t>
      </w:r>
      <w:r w:rsidRPr="005C3C53">
        <w:rPr>
          <w:rFonts w:ascii="Sylfaen" w:hAnsi="Sylfaen" w:cs="Arial"/>
          <w:sz w:val="22"/>
          <w:szCs w:val="22"/>
          <w:lang w:val="ka-GE"/>
        </w:rPr>
        <w:t>%-</w:t>
      </w:r>
      <w:r w:rsidRPr="005C3C53">
        <w:rPr>
          <w:rFonts w:ascii="Sylfaen" w:hAnsi="Sylfaen" w:cs="Sylfaen"/>
          <w:sz w:val="22"/>
          <w:szCs w:val="22"/>
          <w:lang w:val="ka-GE"/>
        </w:rPr>
        <w:t>ია</w:t>
      </w:r>
      <w:r w:rsidRPr="005C3C53">
        <w:rPr>
          <w:rFonts w:ascii="Sylfaen" w:hAnsi="Sylfaen" w:cs="Arial"/>
          <w:sz w:val="22"/>
          <w:szCs w:val="22"/>
          <w:lang w:val="ka-GE"/>
        </w:rPr>
        <w:t>.</w:t>
      </w:r>
    </w:p>
    <w:p w:rsidR="0045732B" w:rsidRDefault="0045732B" w:rsidP="00C86A2A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45732B" w:rsidRPr="00763E4B" w:rsidRDefault="0045732B" w:rsidP="00C86A2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5C3C53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5C3C53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კლებიდან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 xml:space="preserve"> მობილიზებულ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39 786.0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5C3C53">
        <w:rPr>
          <w:rFonts w:ascii="Sylfaen" w:hAnsi="Sylfaen" w:cs="Sylfaen"/>
          <w:sz w:val="22"/>
          <w:szCs w:val="22"/>
          <w:lang w:val="ka-GE"/>
        </w:rPr>
        <w:t>რაც</w:t>
      </w:r>
      <w:r>
        <w:rPr>
          <w:rFonts w:ascii="Sylfaen" w:hAnsi="Sylfaen" w:cs="Sylfaen"/>
          <w:sz w:val="22"/>
          <w:szCs w:val="22"/>
          <w:lang w:val="en-US"/>
        </w:rPr>
        <w:t xml:space="preserve"> 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 (</w:t>
      </w:r>
      <w:r>
        <w:rPr>
          <w:rFonts w:ascii="Sylfaen" w:hAnsi="Sylfaen" w:cs="Arial"/>
          <w:sz w:val="22"/>
          <w:szCs w:val="22"/>
          <w:lang w:val="en-US"/>
        </w:rPr>
        <w:t>36 500.0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ათასი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5C3C53">
        <w:rPr>
          <w:rFonts w:ascii="Sylfaen" w:hAnsi="Sylfaen" w:cs="Sylfaen"/>
          <w:sz w:val="22"/>
          <w:szCs w:val="22"/>
          <w:lang w:val="ka-GE"/>
        </w:rPr>
        <w:t>ლარი</w:t>
      </w:r>
      <w:r w:rsidRPr="005C3C5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132.7</w:t>
      </w:r>
      <w:r w:rsidRPr="005C3C53">
        <w:rPr>
          <w:rFonts w:ascii="Sylfaen" w:hAnsi="Sylfaen" w:cs="Arial"/>
          <w:sz w:val="22"/>
          <w:szCs w:val="22"/>
          <w:lang w:val="ka-GE"/>
        </w:rPr>
        <w:t>%-</w:t>
      </w:r>
      <w:r w:rsidRPr="005C3C53">
        <w:rPr>
          <w:rFonts w:ascii="Sylfaen" w:hAnsi="Sylfaen" w:cs="Sylfaen"/>
          <w:sz w:val="22"/>
          <w:szCs w:val="22"/>
          <w:lang w:val="ka-GE"/>
        </w:rPr>
        <w:t>ია</w:t>
      </w:r>
      <w:r w:rsidRPr="005C3C53">
        <w:rPr>
          <w:rFonts w:ascii="Sylfaen" w:hAnsi="Sylfaen" w:cs="Arial"/>
          <w:sz w:val="22"/>
          <w:szCs w:val="22"/>
          <w:lang w:val="ka-GE"/>
        </w:rPr>
        <w:t>.</w:t>
      </w:r>
    </w:p>
    <w:p w:rsidR="00D01BBA" w:rsidRPr="00946034" w:rsidRDefault="00D01BBA" w:rsidP="00C86A2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DE17C1" w:rsidRPr="00946034" w:rsidRDefault="00DE17C1" w:rsidP="00C86A2A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E17C1" w:rsidRPr="00946034" w:rsidRDefault="00DE17C1" w:rsidP="00C86A2A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201</w:t>
      </w:r>
      <w:r w:rsidR="0045732B">
        <w:rPr>
          <w:rFonts w:ascii="Sylfaen" w:hAnsi="Sylfaen" w:cs="Sylfaen"/>
          <w:b/>
          <w:sz w:val="22"/>
          <w:szCs w:val="22"/>
          <w:lang w:val="fr-FR"/>
        </w:rPr>
        <w:t>9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ნაერთი ბიუჯეტის შემოსავლების  შესრულების მაჩვენებლები 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D01BBA" w:rsidRPr="00946034" w:rsidRDefault="00D01BBA" w:rsidP="00C86A2A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color w:val="000000"/>
          <w:sz w:val="22"/>
          <w:szCs w:val="22"/>
          <w:lang w:val="ka-GE"/>
        </w:rPr>
      </w:pPr>
    </w:p>
    <w:p w:rsidR="00D01BBA" w:rsidRPr="00C86A2A" w:rsidRDefault="00D01BBA" w:rsidP="00C86A2A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6"/>
          <w:szCs w:val="16"/>
          <w:lang w:val="ka-GE"/>
        </w:rPr>
      </w:pPr>
      <w:r w:rsidRPr="00C86A2A">
        <w:rPr>
          <w:rFonts w:ascii="Sylfaen" w:hAnsi="Sylfaen" w:cs="Sylfaen"/>
          <w:i/>
          <w:color w:val="000000"/>
          <w:sz w:val="16"/>
          <w:szCs w:val="16"/>
          <w:lang w:val="ka-GE"/>
        </w:rPr>
        <w:t>ათასი ლარი</w:t>
      </w:r>
    </w:p>
    <w:tbl>
      <w:tblPr>
        <w:tblW w:w="10577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1565"/>
        <w:gridCol w:w="1573"/>
        <w:gridCol w:w="1440"/>
        <w:gridCol w:w="1302"/>
      </w:tblGrid>
      <w:tr w:rsidR="0045732B" w:rsidRPr="00C86A2A" w:rsidTr="00C86A2A">
        <w:trPr>
          <w:trHeight w:val="530"/>
          <w:tblHeader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45732B" w:rsidRPr="00C86A2A" w:rsidTr="0045732B">
        <w:trPr>
          <w:trHeight w:val="293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34" w:firstLine="68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5,992,571.5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6,166,952.1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174,380.6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102.9</w:t>
            </w:r>
          </w:p>
        </w:tc>
      </w:tr>
      <w:tr w:rsidR="0045732B" w:rsidRPr="00C86A2A" w:rsidTr="0045732B">
        <w:trPr>
          <w:trHeight w:val="293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16" w:firstLine="233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5,349,700.0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5,421,492.2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71,792.2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101.3</w:t>
            </w:r>
          </w:p>
        </w:tc>
      </w:tr>
      <w:tr w:rsidR="0045732B" w:rsidRPr="00C86A2A" w:rsidTr="0045732B">
        <w:trPr>
          <w:trHeight w:val="188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საშემოსავლო გადასახადი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1,696,000.0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1,699,252.5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3,252.5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100.2</w:t>
            </w:r>
          </w:p>
        </w:tc>
      </w:tr>
      <w:tr w:rsidR="0045732B" w:rsidRPr="00C86A2A" w:rsidTr="0045732B">
        <w:trPr>
          <w:trHeight w:val="260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lastRenderedPageBreak/>
              <w:t>მოგების გადასახადი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418,000.0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470,073.0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52,073.0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112.5</w:t>
            </w:r>
          </w:p>
        </w:tc>
      </w:tr>
      <w:tr w:rsidR="0045732B" w:rsidRPr="00C86A2A" w:rsidTr="0045732B">
        <w:trPr>
          <w:trHeight w:val="260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2,377,000.0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2,288,447.1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-88,552.9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96.3</w:t>
            </w:r>
          </w:p>
        </w:tc>
      </w:tr>
      <w:tr w:rsidR="0045732B" w:rsidRPr="00C86A2A" w:rsidTr="0045732B">
        <w:trPr>
          <w:trHeight w:val="188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აქციზი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650,000.0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544,164.3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-105,835.7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83.7</w:t>
            </w:r>
          </w:p>
        </w:tc>
      </w:tr>
      <w:tr w:rsidR="0045732B" w:rsidRPr="00C86A2A" w:rsidTr="0045732B">
        <w:trPr>
          <w:trHeight w:val="242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იმპორტის გადასახადი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42,000.0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34,095.9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-7,904.1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81.2</w:t>
            </w:r>
          </w:p>
        </w:tc>
      </w:tr>
      <w:tr w:rsidR="0045732B" w:rsidRPr="00C86A2A" w:rsidTr="0045732B">
        <w:trPr>
          <w:trHeight w:val="233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98" w:firstLine="39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ქონების გადასახადი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315,700.0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349,292.0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33,592.0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110.6</w:t>
            </w:r>
          </w:p>
        </w:tc>
      </w:tr>
      <w:tr w:rsidR="0045732B" w:rsidRPr="00C86A2A" w:rsidTr="0045732B">
        <w:trPr>
          <w:trHeight w:val="314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98" w:firstLine="396"/>
              <w:rPr>
                <w:rFonts w:ascii="Sylfaen" w:hAnsi="Sylfaen" w:cs="Arial"/>
                <w:color w:val="000000"/>
                <w:lang w:val="en-US"/>
              </w:rPr>
            </w:pPr>
            <w:r w:rsidRPr="00C86A2A">
              <w:rPr>
                <w:rFonts w:ascii="Sylfaen" w:hAnsi="Sylfaen" w:cs="Arial"/>
                <w:color w:val="000000"/>
                <w:lang w:val="en-US"/>
              </w:rPr>
              <w:t>სხვა გადასახადი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-149,000.0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36,167.4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185,167.4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-24.3</w:t>
            </w:r>
          </w:p>
        </w:tc>
      </w:tr>
      <w:tr w:rsidR="0045732B" w:rsidRPr="00C86A2A" w:rsidTr="0045732B">
        <w:trPr>
          <w:trHeight w:val="278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215,000.0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260,652.2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45,652.2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121.2</w:t>
            </w:r>
          </w:p>
        </w:tc>
      </w:tr>
      <w:tr w:rsidR="0045732B" w:rsidRPr="00C86A2A" w:rsidTr="0045732B">
        <w:trPr>
          <w:trHeight w:val="269"/>
        </w:trPr>
        <w:tc>
          <w:tcPr>
            <w:tcW w:w="4697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16" w:firstLine="233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 შემოსავლები</w:t>
            </w:r>
          </w:p>
        </w:tc>
        <w:tc>
          <w:tcPr>
            <w:tcW w:w="1565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427,871.5</w:t>
            </w:r>
          </w:p>
        </w:tc>
        <w:tc>
          <w:tcPr>
            <w:tcW w:w="1573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484,807.7</w:t>
            </w:r>
          </w:p>
        </w:tc>
        <w:tc>
          <w:tcPr>
            <w:tcW w:w="1440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56,936.2</w:t>
            </w:r>
          </w:p>
        </w:tc>
        <w:tc>
          <w:tcPr>
            <w:tcW w:w="1302" w:type="dxa"/>
            <w:shd w:val="clear" w:color="auto" w:fill="auto"/>
            <w:hideMark/>
          </w:tcPr>
          <w:p w:rsidR="0045732B" w:rsidRPr="00C86A2A" w:rsidRDefault="0045732B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113.3</w:t>
            </w:r>
          </w:p>
        </w:tc>
      </w:tr>
    </w:tbl>
    <w:p w:rsidR="009A3C3D" w:rsidRPr="00946034" w:rsidRDefault="009A3C3D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E42F1A" w:rsidRDefault="00E42F1A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DE17C1" w:rsidRPr="00946034" w:rsidRDefault="00DE17C1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201</w:t>
      </w:r>
      <w:r w:rsidR="0045732B">
        <w:rPr>
          <w:rFonts w:ascii="Sylfaen" w:hAnsi="Sylfaen" w:cs="Arial"/>
          <w:b/>
          <w:color w:val="000000"/>
          <w:sz w:val="22"/>
          <w:szCs w:val="22"/>
          <w:lang w:val="fr-FR"/>
        </w:rPr>
        <w:t>9</w:t>
      </w:r>
      <w:r w:rsidR="00866976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იანვარ-</w:t>
      </w:r>
      <w:r w:rsidR="00D01BBA"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>ივნის</w:t>
      </w:r>
      <w:r w:rsidRPr="00946034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ის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</w:p>
    <w:p w:rsidR="00DE17C1" w:rsidRPr="00946034" w:rsidRDefault="00DE17C1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:rsidR="00DE17C1" w:rsidRDefault="00DE17C1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:rsidR="00C86A2A" w:rsidRPr="00946034" w:rsidRDefault="00C86A2A" w:rsidP="00C86A2A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:rsidR="0045732B" w:rsidRPr="0045732B" w:rsidRDefault="0045732B" w:rsidP="00C86A2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45732B">
        <w:rPr>
          <w:rFonts w:ascii="Sylfaen" w:hAnsi="Sylfaen" w:cs="Arial"/>
          <w:sz w:val="22"/>
          <w:szCs w:val="22"/>
          <w:lang w:val="ka-GE"/>
        </w:rPr>
        <w:t>201</w:t>
      </w:r>
      <w:r w:rsidRPr="0045732B">
        <w:rPr>
          <w:rFonts w:ascii="Sylfaen" w:hAnsi="Sylfaen" w:cs="Arial"/>
          <w:sz w:val="22"/>
          <w:szCs w:val="22"/>
          <w:lang w:val="en-US"/>
        </w:rPr>
        <w:t>9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წლის იანვარ-</w:t>
      </w:r>
      <w:r w:rsidRPr="0045732B">
        <w:rPr>
          <w:rFonts w:ascii="Sylfaen" w:hAnsi="Sylfaen" w:cs="Sylfaen"/>
          <w:color w:val="000000"/>
          <w:sz w:val="22"/>
          <w:szCs w:val="22"/>
          <w:lang w:val="ka-GE"/>
        </w:rPr>
        <w:t>ივნისის</w:t>
      </w:r>
      <w:r w:rsidRPr="0045732B">
        <w:rPr>
          <w:rFonts w:ascii="Sylfaen" w:hAnsi="Sylfaen" w:cs="Sylfaen"/>
          <w:sz w:val="22"/>
          <w:szCs w:val="22"/>
          <w:lang w:val="ka-GE"/>
        </w:rPr>
        <w:t xml:space="preserve"> სახელმწიფო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  4 918 081.5  ათასი </w:t>
      </w:r>
      <w:r w:rsidRPr="0045732B">
        <w:rPr>
          <w:rFonts w:ascii="Sylfaen" w:hAnsi="Sylfaen" w:cs="Sylfaen"/>
          <w:sz w:val="22"/>
          <w:szCs w:val="22"/>
          <w:lang w:val="ka-GE"/>
        </w:rPr>
        <w:t>ლარით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45732B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იქნა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5 038 684.7 </w:t>
      </w:r>
      <w:r w:rsidRPr="0045732B">
        <w:rPr>
          <w:rFonts w:ascii="Sylfaen" w:hAnsi="Sylfaen" w:cs="Sylfaen"/>
          <w:sz w:val="22"/>
          <w:szCs w:val="22"/>
          <w:lang w:val="ka-GE"/>
        </w:rPr>
        <w:t>ათასი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ლარი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45732B">
        <w:rPr>
          <w:rFonts w:ascii="Sylfaen" w:hAnsi="Sylfaen" w:cs="Sylfaen"/>
          <w:sz w:val="22"/>
          <w:szCs w:val="22"/>
          <w:lang w:val="ka-GE"/>
        </w:rPr>
        <w:t>ანუ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45732B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45732B">
        <w:rPr>
          <w:rFonts w:ascii="Sylfaen" w:hAnsi="Sylfaen" w:cs="Arial"/>
          <w:sz w:val="22"/>
          <w:szCs w:val="22"/>
          <w:lang w:val="ka-GE"/>
        </w:rPr>
        <w:t xml:space="preserve"> 102.5%.</w:t>
      </w:r>
    </w:p>
    <w:p w:rsidR="00833D06" w:rsidRDefault="00833D06" w:rsidP="00C86A2A">
      <w:pPr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:rsidR="00C86A2A" w:rsidRPr="00946034" w:rsidRDefault="00C86A2A" w:rsidP="00C86A2A">
      <w:pPr>
        <w:jc w:val="center"/>
        <w:rPr>
          <w:rFonts w:ascii="Sylfaen" w:hAnsi="Sylfaen" w:cs="Arial"/>
          <w:b/>
          <w:sz w:val="22"/>
          <w:szCs w:val="22"/>
          <w:lang w:val="fr-FR"/>
        </w:rPr>
      </w:pPr>
    </w:p>
    <w:p w:rsidR="00DE17C1" w:rsidRPr="00946034" w:rsidRDefault="00DE17C1" w:rsidP="00C86A2A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946034">
        <w:rPr>
          <w:rFonts w:ascii="Sylfaen" w:hAnsi="Sylfaen" w:cs="Arial"/>
          <w:b/>
          <w:sz w:val="22"/>
          <w:szCs w:val="22"/>
          <w:lang w:val="fr-FR"/>
        </w:rPr>
        <w:t>201</w:t>
      </w:r>
      <w:r w:rsidR="0045732B">
        <w:rPr>
          <w:rFonts w:ascii="Sylfaen" w:hAnsi="Sylfaen" w:cs="Arial"/>
          <w:b/>
          <w:sz w:val="22"/>
          <w:szCs w:val="22"/>
          <w:lang w:val="en-US"/>
        </w:rPr>
        <w:t>9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წლის  იანვარ-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946034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DE17C1" w:rsidRPr="00946034" w:rsidRDefault="00DE17C1" w:rsidP="00C86A2A">
      <w:pPr>
        <w:ind w:firstLine="720"/>
        <w:jc w:val="center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                      </w:t>
      </w:r>
    </w:p>
    <w:p w:rsidR="00946034" w:rsidRPr="00C86A2A" w:rsidRDefault="00946034" w:rsidP="00C86A2A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6"/>
          <w:szCs w:val="16"/>
          <w:lang w:val="ka-GE"/>
        </w:rPr>
      </w:pPr>
      <w:r w:rsidRPr="00C86A2A">
        <w:rPr>
          <w:rFonts w:ascii="Sylfaen" w:hAnsi="Sylfaen" w:cs="Sylfaen"/>
          <w:i/>
          <w:color w:val="000000"/>
          <w:sz w:val="16"/>
          <w:szCs w:val="16"/>
          <w:lang w:val="ka-GE"/>
        </w:rPr>
        <w:t>ათასი ლარი</w:t>
      </w:r>
    </w:p>
    <w:tbl>
      <w:tblPr>
        <w:tblW w:w="104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1640"/>
        <w:gridCol w:w="1620"/>
        <w:gridCol w:w="1620"/>
        <w:gridCol w:w="1489"/>
      </w:tblGrid>
      <w:tr w:rsidR="0045732B" w:rsidRPr="00C86A2A" w:rsidTr="00616D0C">
        <w:trPr>
          <w:trHeight w:val="620"/>
        </w:trPr>
        <w:tc>
          <w:tcPr>
            <w:tcW w:w="4125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45732B" w:rsidRPr="00C86A2A" w:rsidTr="0045732B">
        <w:trPr>
          <w:trHeight w:val="350"/>
        </w:trPr>
        <w:tc>
          <w:tcPr>
            <w:tcW w:w="4125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</w:p>
        </w:tc>
        <w:tc>
          <w:tcPr>
            <w:tcW w:w="164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</w:rPr>
              <w:t>4,918,081.5</w:t>
            </w:r>
          </w:p>
        </w:tc>
        <w:tc>
          <w:tcPr>
            <w:tcW w:w="162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</w:rPr>
              <w:t>5,038,684.7</w:t>
            </w:r>
          </w:p>
        </w:tc>
        <w:tc>
          <w:tcPr>
            <w:tcW w:w="162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</w:rPr>
              <w:t>120,603.2</w:t>
            </w:r>
          </w:p>
        </w:tc>
        <w:tc>
          <w:tcPr>
            <w:tcW w:w="1489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</w:rPr>
              <w:t>102.5</w:t>
            </w:r>
          </w:p>
        </w:tc>
      </w:tr>
      <w:tr w:rsidR="0045732B" w:rsidRPr="00C86A2A" w:rsidTr="0045732B">
        <w:trPr>
          <w:trHeight w:val="350"/>
        </w:trPr>
        <w:tc>
          <w:tcPr>
            <w:tcW w:w="4125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200" w:firstLine="400"/>
              <w:rPr>
                <w:rFonts w:ascii="Sylfaen" w:hAnsi="Sylfaen" w:cs="Arial"/>
                <w:bCs/>
                <w:lang w:val="en-US"/>
              </w:rPr>
            </w:pPr>
            <w:r w:rsidRPr="00C86A2A">
              <w:rPr>
                <w:rFonts w:ascii="Sylfaen" w:hAnsi="Sylfaen" w:cs="Arial"/>
                <w:bCs/>
                <w:lang w:val="en-US"/>
              </w:rPr>
              <w:t>გადასახადები</w:t>
            </w:r>
          </w:p>
        </w:tc>
        <w:tc>
          <w:tcPr>
            <w:tcW w:w="164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4,463,600.0</w:t>
            </w:r>
          </w:p>
        </w:tc>
        <w:tc>
          <w:tcPr>
            <w:tcW w:w="162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4,503,857.8</w:t>
            </w:r>
          </w:p>
        </w:tc>
        <w:tc>
          <w:tcPr>
            <w:tcW w:w="162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40,257.8</w:t>
            </w:r>
          </w:p>
        </w:tc>
        <w:tc>
          <w:tcPr>
            <w:tcW w:w="1489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100.9</w:t>
            </w:r>
          </w:p>
        </w:tc>
      </w:tr>
      <w:tr w:rsidR="0045732B" w:rsidRPr="00C86A2A" w:rsidTr="0045732B">
        <w:trPr>
          <w:trHeight w:val="359"/>
        </w:trPr>
        <w:tc>
          <w:tcPr>
            <w:tcW w:w="4125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C86A2A">
              <w:rPr>
                <w:rFonts w:ascii="Sylfaen" w:hAnsi="Sylfaen" w:cs="Arial"/>
                <w:bCs/>
                <w:lang w:val="en-US"/>
              </w:rPr>
              <w:t>გრანტები</w:t>
            </w:r>
          </w:p>
        </w:tc>
        <w:tc>
          <w:tcPr>
            <w:tcW w:w="164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214,434.0</w:t>
            </w:r>
          </w:p>
        </w:tc>
        <w:tc>
          <w:tcPr>
            <w:tcW w:w="162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259,155.7</w:t>
            </w:r>
          </w:p>
        </w:tc>
        <w:tc>
          <w:tcPr>
            <w:tcW w:w="162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44,721.7</w:t>
            </w:r>
          </w:p>
        </w:tc>
        <w:tc>
          <w:tcPr>
            <w:tcW w:w="1489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120.9</w:t>
            </w:r>
          </w:p>
        </w:tc>
      </w:tr>
      <w:tr w:rsidR="0045732B" w:rsidRPr="00C86A2A" w:rsidTr="0045732B">
        <w:trPr>
          <w:trHeight w:val="341"/>
        </w:trPr>
        <w:tc>
          <w:tcPr>
            <w:tcW w:w="4125" w:type="dxa"/>
            <w:shd w:val="clear" w:color="auto" w:fill="auto"/>
            <w:vAlign w:val="center"/>
            <w:hideMark/>
          </w:tcPr>
          <w:p w:rsidR="0045732B" w:rsidRPr="00C86A2A" w:rsidRDefault="0045732B" w:rsidP="00C86A2A">
            <w:pPr>
              <w:ind w:firstLineChars="217" w:firstLine="434"/>
              <w:rPr>
                <w:rFonts w:ascii="Sylfaen" w:hAnsi="Sylfaen" w:cs="Arial"/>
                <w:bCs/>
                <w:lang w:val="en-US"/>
              </w:rPr>
            </w:pPr>
            <w:r w:rsidRPr="00C86A2A">
              <w:rPr>
                <w:rFonts w:ascii="Sylfaen" w:hAnsi="Sylfaen" w:cs="Arial"/>
                <w:bCs/>
                <w:lang w:val="en-US"/>
              </w:rPr>
              <w:t>სხვა შემოსავლები</w:t>
            </w:r>
          </w:p>
        </w:tc>
        <w:tc>
          <w:tcPr>
            <w:tcW w:w="164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240,047.5</w:t>
            </w:r>
          </w:p>
        </w:tc>
        <w:tc>
          <w:tcPr>
            <w:tcW w:w="162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275,671.3</w:t>
            </w:r>
          </w:p>
        </w:tc>
        <w:tc>
          <w:tcPr>
            <w:tcW w:w="1620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35,623.8</w:t>
            </w:r>
          </w:p>
        </w:tc>
        <w:tc>
          <w:tcPr>
            <w:tcW w:w="1489" w:type="dxa"/>
            <w:shd w:val="clear" w:color="auto" w:fill="auto"/>
          </w:tcPr>
          <w:p w:rsidR="0045732B" w:rsidRPr="00C86A2A" w:rsidRDefault="0045732B" w:rsidP="00C86A2A">
            <w:pPr>
              <w:jc w:val="right"/>
              <w:rPr>
                <w:rFonts w:ascii="Sylfaen" w:hAnsi="Sylfaen" w:cs="Arial"/>
                <w:bCs/>
                <w:color w:val="000000"/>
              </w:rPr>
            </w:pPr>
            <w:r w:rsidRPr="00C86A2A">
              <w:rPr>
                <w:rFonts w:ascii="Sylfaen" w:hAnsi="Sylfaen" w:cs="Arial"/>
                <w:bCs/>
                <w:color w:val="000000"/>
              </w:rPr>
              <w:t>114.8</w:t>
            </w:r>
          </w:p>
        </w:tc>
      </w:tr>
    </w:tbl>
    <w:p w:rsidR="00B73DB7" w:rsidRPr="00946034" w:rsidRDefault="00B73DB7" w:rsidP="00C86A2A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45732B" w:rsidRPr="00AD1983" w:rsidRDefault="0045732B" w:rsidP="00C86A2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AD1983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4 463 600.0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იქნა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4 503 857.8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ანუ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100.9</w:t>
      </w:r>
      <w:r w:rsidRPr="00AD1983">
        <w:rPr>
          <w:rFonts w:ascii="Sylfaen" w:hAnsi="Sylfaen" w:cs="Arial"/>
          <w:sz w:val="22"/>
          <w:szCs w:val="22"/>
          <w:lang w:val="ka-GE"/>
        </w:rPr>
        <w:t>%.</w:t>
      </w:r>
    </w:p>
    <w:p w:rsidR="00D01BBA" w:rsidRPr="00946034" w:rsidRDefault="00D01BBA" w:rsidP="00C86A2A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D01BBA" w:rsidRPr="00946034" w:rsidRDefault="00D01BBA" w:rsidP="00C86A2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:rsidR="00AC123C" w:rsidRPr="00AC123C" w:rsidRDefault="00AC123C" w:rsidP="00C86A2A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>
        <w:rPr>
          <w:rFonts w:ascii="Sylfaen" w:hAnsi="Sylfaen" w:cs="Sylfaen"/>
          <w:sz w:val="22"/>
          <w:szCs w:val="22"/>
          <w:lang w:val="ka-GE"/>
        </w:rPr>
        <w:t xml:space="preserve"> 1 565 715.1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ათასი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 xml:space="preserve">1 576 000.0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ათასი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 xml:space="preserve"> 99.3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AC123C" w:rsidRPr="00AD1983" w:rsidRDefault="00AC123C" w:rsidP="00C86A2A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470 073.0 </w:t>
      </w:r>
      <w:r w:rsidRPr="00AD1983">
        <w:rPr>
          <w:rFonts w:ascii="Sylfaen" w:hAnsi="Sylfaen" w:cs="Sylfaen"/>
          <w:sz w:val="22"/>
          <w:szCs w:val="22"/>
          <w:lang w:val="ka-GE"/>
        </w:rPr>
        <w:t>ათასი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418 000.0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112.5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</w:p>
    <w:p w:rsidR="00AC123C" w:rsidRDefault="00AC123C" w:rsidP="00C86A2A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1 853 642.1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1 926 600</w:t>
      </w:r>
      <w:r w:rsidR="00FC7DEB">
        <w:rPr>
          <w:rFonts w:ascii="Sylfaen" w:hAnsi="Sylfaen" w:cs="Arial"/>
          <w:sz w:val="22"/>
          <w:szCs w:val="22"/>
          <w:lang w:val="ka-GE"/>
        </w:rPr>
        <w:t>.</w:t>
      </w:r>
      <w:r>
        <w:rPr>
          <w:rFonts w:ascii="Sylfaen" w:hAnsi="Sylfaen" w:cs="Arial"/>
          <w:sz w:val="22"/>
          <w:szCs w:val="22"/>
          <w:lang w:val="ka-GE"/>
        </w:rPr>
        <w:t xml:space="preserve">0 </w:t>
      </w:r>
      <w:r w:rsidRPr="00AD1983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96.2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</w:p>
    <w:p w:rsidR="00AC123C" w:rsidRPr="00AD1983" w:rsidRDefault="00AC123C" w:rsidP="00C86A2A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544 164.</w:t>
      </w:r>
      <w:r w:rsidR="00FC7DEB">
        <w:rPr>
          <w:rFonts w:ascii="Sylfaen" w:hAnsi="Sylfaen" w:cs="Sylfaen"/>
          <w:sz w:val="22"/>
          <w:szCs w:val="22"/>
          <w:lang w:val="ka-GE"/>
        </w:rPr>
        <w:t>3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    </w:t>
      </w:r>
      <w:r w:rsidRPr="00AD1983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sz w:val="22"/>
          <w:szCs w:val="22"/>
          <w:lang w:val="ka-GE"/>
        </w:rPr>
        <w:t>650 000.0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83.7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. </w:t>
      </w:r>
    </w:p>
    <w:p w:rsidR="00AC123C" w:rsidRPr="00AD1983" w:rsidRDefault="00AC123C" w:rsidP="00C86A2A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AD1983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სახით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34 095.9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AD1983">
        <w:rPr>
          <w:rFonts w:ascii="Sylfaen" w:hAnsi="Sylfaen" w:cs="Sylfaen"/>
          <w:sz w:val="22"/>
          <w:szCs w:val="22"/>
          <w:lang w:val="ka-GE"/>
        </w:rPr>
        <w:t>რაც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AD1983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42 000.0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AD1983">
        <w:rPr>
          <w:rFonts w:ascii="Sylfaen" w:hAnsi="Sylfaen" w:cs="Sylfaen"/>
          <w:sz w:val="22"/>
          <w:szCs w:val="22"/>
          <w:lang w:val="ka-GE"/>
        </w:rPr>
        <w:t>ლარი</w:t>
      </w:r>
      <w:r w:rsidRPr="00AD1983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81.2</w:t>
      </w:r>
      <w:r w:rsidRPr="00AD1983">
        <w:rPr>
          <w:rFonts w:ascii="Sylfaen" w:hAnsi="Sylfaen" w:cs="Arial"/>
          <w:sz w:val="22"/>
          <w:szCs w:val="22"/>
          <w:lang w:val="ka-GE"/>
        </w:rPr>
        <w:t>%-</w:t>
      </w:r>
      <w:r w:rsidRPr="00AD1983">
        <w:rPr>
          <w:rFonts w:ascii="Sylfaen" w:hAnsi="Sylfaen" w:cs="Sylfaen"/>
          <w:sz w:val="22"/>
          <w:szCs w:val="22"/>
          <w:lang w:val="ka-GE"/>
        </w:rPr>
        <w:t>ია</w:t>
      </w:r>
      <w:r w:rsidRPr="00AD1983">
        <w:rPr>
          <w:rFonts w:ascii="Sylfaen" w:hAnsi="Sylfaen" w:cs="Arial"/>
          <w:sz w:val="22"/>
          <w:szCs w:val="22"/>
          <w:lang w:val="ka-GE"/>
        </w:rPr>
        <w:t>.</w:t>
      </w:r>
    </w:p>
    <w:p w:rsidR="00DE17C1" w:rsidRPr="00946034" w:rsidRDefault="00DE17C1" w:rsidP="00C86A2A">
      <w:pPr>
        <w:jc w:val="both"/>
        <w:rPr>
          <w:rFonts w:ascii="Sylfaen" w:hAnsi="Sylfaen" w:cs="Arial"/>
          <w:sz w:val="22"/>
          <w:szCs w:val="22"/>
          <w:lang w:val="ka-GE"/>
        </w:rPr>
      </w:pPr>
    </w:p>
    <w:p w:rsidR="00E42F1A" w:rsidRDefault="00E42F1A" w:rsidP="00C86A2A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DE17C1" w:rsidRPr="00946034" w:rsidRDefault="00DE17C1" w:rsidP="00C86A2A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lastRenderedPageBreak/>
        <w:t>201</w:t>
      </w:r>
      <w:r w:rsidR="00E502C0">
        <w:rPr>
          <w:rFonts w:ascii="Sylfaen" w:hAnsi="Sylfaen" w:cs="Sylfaen"/>
          <w:b/>
          <w:sz w:val="22"/>
          <w:szCs w:val="22"/>
          <w:lang w:val="ka-GE"/>
        </w:rPr>
        <w:t>9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იანვარ-</w:t>
      </w:r>
      <w:r w:rsidR="00D01BBA" w:rsidRPr="00946034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ის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ბიუჯეტის საგადასახადო </w:t>
      </w:r>
    </w:p>
    <w:p w:rsidR="00DE17C1" w:rsidRPr="00946034" w:rsidRDefault="00DE17C1" w:rsidP="00C86A2A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946034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946034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946034" w:rsidRPr="00C86A2A" w:rsidRDefault="00946034" w:rsidP="00C86A2A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6"/>
          <w:szCs w:val="16"/>
          <w:lang w:val="ka-GE"/>
        </w:rPr>
      </w:pPr>
      <w:r w:rsidRPr="00C86A2A">
        <w:rPr>
          <w:rFonts w:ascii="Sylfaen" w:hAnsi="Sylfaen" w:cs="Sylfaen"/>
          <w:i/>
          <w:color w:val="000000"/>
          <w:sz w:val="16"/>
          <w:szCs w:val="16"/>
          <w:lang w:val="ka-GE"/>
        </w:rPr>
        <w:t>ათასი ლარი</w:t>
      </w:r>
    </w:p>
    <w:tbl>
      <w:tblPr>
        <w:tblW w:w="10519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530"/>
        <w:gridCol w:w="1530"/>
        <w:gridCol w:w="1530"/>
        <w:gridCol w:w="1424"/>
      </w:tblGrid>
      <w:tr w:rsidR="00CF57AC" w:rsidRPr="00C86A2A" w:rsidTr="00402587">
        <w:trPr>
          <w:trHeight w:val="773"/>
        </w:trPr>
        <w:tc>
          <w:tcPr>
            <w:tcW w:w="4505" w:type="dxa"/>
            <w:shd w:val="clear" w:color="auto" w:fill="auto"/>
            <w:vAlign w:val="center"/>
            <w:hideMark/>
          </w:tcPr>
          <w:p w:rsidR="00CF57AC" w:rsidRPr="00C86A2A" w:rsidRDefault="00CF57AC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57AC" w:rsidRPr="00C86A2A" w:rsidRDefault="00CF57AC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57AC" w:rsidRPr="00C86A2A" w:rsidRDefault="00CF57AC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CF57AC" w:rsidRPr="00C86A2A" w:rsidRDefault="00CF57AC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CF57AC" w:rsidRPr="00C86A2A" w:rsidRDefault="00CF57AC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CF57AC" w:rsidRPr="00C86A2A" w:rsidTr="00402587">
        <w:trPr>
          <w:trHeight w:val="350"/>
        </w:trPr>
        <w:tc>
          <w:tcPr>
            <w:tcW w:w="4505" w:type="dxa"/>
            <w:shd w:val="clear" w:color="auto" w:fill="auto"/>
            <w:vAlign w:val="center"/>
            <w:hideMark/>
          </w:tcPr>
          <w:p w:rsidR="00CF57AC" w:rsidRPr="00C86A2A" w:rsidRDefault="00FC7DEB" w:rsidP="00C86A2A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ka-GE"/>
              </w:rPr>
              <w:t xml:space="preserve">  </w:t>
            </w:r>
            <w:r w:rsidR="00CF57AC" w:rsidRPr="00C86A2A">
              <w:rPr>
                <w:rFonts w:ascii="Sylfaen" w:hAnsi="Sylfaen" w:cs="Arial"/>
                <w:b/>
                <w:bCs/>
                <w:lang w:val="en-US"/>
              </w:rPr>
              <w:t>გადასახადები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</w:rPr>
              <w:t>4,463,600.0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</w:rPr>
              <w:t>4,503,857.8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</w:rPr>
              <w:t>40,257.8</w:t>
            </w:r>
          </w:p>
        </w:tc>
        <w:tc>
          <w:tcPr>
            <w:tcW w:w="1424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b/>
                <w:bCs/>
                <w:color w:val="000000"/>
              </w:rPr>
            </w:pPr>
            <w:r w:rsidRPr="00C86A2A">
              <w:rPr>
                <w:rFonts w:ascii="Sylfaen" w:hAnsi="Sylfaen" w:cs="Arial"/>
                <w:b/>
                <w:bCs/>
                <w:color w:val="000000"/>
              </w:rPr>
              <w:t>100.9</w:t>
            </w:r>
          </w:p>
        </w:tc>
      </w:tr>
      <w:tr w:rsidR="00CF57AC" w:rsidRPr="00C86A2A" w:rsidTr="0040258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CF57AC" w:rsidRPr="00C86A2A" w:rsidRDefault="00FC7DEB" w:rsidP="00C86A2A">
            <w:pPr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ka-GE"/>
              </w:rPr>
              <w:t xml:space="preserve">      </w:t>
            </w:r>
            <w:r w:rsidR="00CF57AC" w:rsidRPr="00C86A2A">
              <w:rPr>
                <w:rFonts w:ascii="Sylfaen" w:hAnsi="Sylfaen" w:cs="Arial"/>
                <w:lang w:val="en-US"/>
              </w:rPr>
              <w:t>საშემოსავლო გადასახადი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1,576,000.0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1,565,715.1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-10,284.9</w:t>
            </w:r>
          </w:p>
        </w:tc>
        <w:tc>
          <w:tcPr>
            <w:tcW w:w="1424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99.3</w:t>
            </w:r>
          </w:p>
        </w:tc>
      </w:tr>
      <w:tr w:rsidR="00CF57AC" w:rsidRPr="00C86A2A" w:rsidTr="0040258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CF57AC" w:rsidRPr="00C86A2A" w:rsidRDefault="00FC7DEB" w:rsidP="00C86A2A">
            <w:pPr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ka-GE"/>
              </w:rPr>
              <w:t xml:space="preserve">      </w:t>
            </w:r>
            <w:r w:rsidR="00CF57AC" w:rsidRPr="00C86A2A">
              <w:rPr>
                <w:rFonts w:ascii="Sylfaen" w:hAnsi="Sylfaen" w:cs="Arial"/>
                <w:lang w:val="en-US"/>
              </w:rPr>
              <w:t>მოგების გადასახადი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418,000.0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470,073.0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52,073.0</w:t>
            </w:r>
          </w:p>
        </w:tc>
        <w:tc>
          <w:tcPr>
            <w:tcW w:w="1424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112.5</w:t>
            </w:r>
          </w:p>
        </w:tc>
      </w:tr>
      <w:tr w:rsidR="00CF57AC" w:rsidRPr="00C86A2A" w:rsidTr="0040258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CF57AC" w:rsidRPr="00C86A2A" w:rsidRDefault="00FC7DEB" w:rsidP="00C86A2A">
            <w:pPr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ka-GE"/>
              </w:rPr>
              <w:t xml:space="preserve">      </w:t>
            </w:r>
            <w:r w:rsidR="00CF57AC" w:rsidRPr="00C86A2A">
              <w:rPr>
                <w:rFonts w:ascii="Sylfaen" w:hAnsi="Sylfaen" w:cs="Arial"/>
                <w:lang w:val="en-US"/>
              </w:rPr>
              <w:t>დამატებული ღირებულების გადასახადი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1,926,600.0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1,853,642.1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-72,957.9</w:t>
            </w:r>
          </w:p>
        </w:tc>
        <w:tc>
          <w:tcPr>
            <w:tcW w:w="1424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96.2</w:t>
            </w:r>
          </w:p>
        </w:tc>
      </w:tr>
      <w:tr w:rsidR="00CF57AC" w:rsidRPr="00C86A2A" w:rsidTr="0040258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CF57AC" w:rsidRPr="00C86A2A" w:rsidRDefault="00FC7DEB" w:rsidP="00C86A2A">
            <w:pPr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ka-GE"/>
              </w:rPr>
              <w:t xml:space="preserve">      </w:t>
            </w:r>
            <w:r w:rsidR="00CF57AC" w:rsidRPr="00C86A2A">
              <w:rPr>
                <w:rFonts w:ascii="Sylfaen" w:hAnsi="Sylfaen" w:cs="Arial"/>
                <w:lang w:val="en-US"/>
              </w:rPr>
              <w:t>აქციზი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650,000.0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544,164.3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-105,835.7</w:t>
            </w:r>
          </w:p>
        </w:tc>
        <w:tc>
          <w:tcPr>
            <w:tcW w:w="1424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83.7</w:t>
            </w:r>
          </w:p>
        </w:tc>
      </w:tr>
      <w:tr w:rsidR="00CF57AC" w:rsidRPr="00C86A2A" w:rsidTr="0040258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CF57AC" w:rsidRPr="00C86A2A" w:rsidRDefault="00FC7DEB" w:rsidP="00C86A2A">
            <w:pPr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ka-GE"/>
              </w:rPr>
              <w:t xml:space="preserve">      </w:t>
            </w:r>
            <w:r w:rsidR="00CF57AC" w:rsidRPr="00C86A2A">
              <w:rPr>
                <w:rFonts w:ascii="Sylfaen" w:hAnsi="Sylfaen" w:cs="Arial"/>
                <w:lang w:val="en-US"/>
              </w:rPr>
              <w:t>იმპორტის გადასახადი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42,000.0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34,095.9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-7,904.1</w:t>
            </w:r>
          </w:p>
        </w:tc>
        <w:tc>
          <w:tcPr>
            <w:tcW w:w="1424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81.2</w:t>
            </w:r>
          </w:p>
        </w:tc>
      </w:tr>
      <w:tr w:rsidR="00CF57AC" w:rsidRPr="00C86A2A" w:rsidTr="00402587">
        <w:trPr>
          <w:trHeight w:val="302"/>
        </w:trPr>
        <w:tc>
          <w:tcPr>
            <w:tcW w:w="4505" w:type="dxa"/>
            <w:shd w:val="clear" w:color="auto" w:fill="auto"/>
            <w:vAlign w:val="center"/>
            <w:hideMark/>
          </w:tcPr>
          <w:p w:rsidR="00CF57AC" w:rsidRPr="00C86A2A" w:rsidRDefault="00FC7DEB" w:rsidP="00C86A2A">
            <w:pPr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ka-GE"/>
              </w:rPr>
              <w:t xml:space="preserve">      </w:t>
            </w:r>
            <w:r w:rsidR="00CF57AC" w:rsidRPr="00C86A2A">
              <w:rPr>
                <w:rFonts w:ascii="Sylfaen" w:hAnsi="Sylfaen" w:cs="Arial"/>
                <w:lang w:val="en-US"/>
              </w:rPr>
              <w:t>სხვა გადასახადი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-149,000.0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36,167.4</w:t>
            </w:r>
          </w:p>
        </w:tc>
        <w:tc>
          <w:tcPr>
            <w:tcW w:w="1530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185,167.4</w:t>
            </w:r>
          </w:p>
        </w:tc>
        <w:tc>
          <w:tcPr>
            <w:tcW w:w="1424" w:type="dxa"/>
            <w:shd w:val="clear" w:color="auto" w:fill="auto"/>
          </w:tcPr>
          <w:p w:rsidR="00CF57AC" w:rsidRPr="00C86A2A" w:rsidRDefault="00CF57AC" w:rsidP="00C86A2A">
            <w:pPr>
              <w:jc w:val="right"/>
              <w:rPr>
                <w:rFonts w:ascii="Sylfaen" w:hAnsi="Sylfaen" w:cs="Arial"/>
                <w:color w:val="000000"/>
              </w:rPr>
            </w:pPr>
            <w:r w:rsidRPr="00C86A2A">
              <w:rPr>
                <w:rFonts w:ascii="Sylfaen" w:hAnsi="Sylfaen" w:cs="Arial"/>
                <w:color w:val="000000"/>
              </w:rPr>
              <w:t>-24.3</w:t>
            </w:r>
          </w:p>
        </w:tc>
      </w:tr>
    </w:tbl>
    <w:p w:rsidR="00B73DB7" w:rsidRPr="00946034" w:rsidRDefault="00B73DB7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D5F18" w:rsidRPr="00946034" w:rsidRDefault="00D01BBA" w:rsidP="00C86A2A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CF57AC" w:rsidRPr="00CF57AC">
        <w:rPr>
          <w:rFonts w:ascii="Sylfaen" w:hAnsi="Sylfaen" w:cs="Arial"/>
          <w:sz w:val="22"/>
          <w:szCs w:val="22"/>
          <w:lang w:val="ka-GE"/>
        </w:rPr>
        <w:t>214 434.0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იქნა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="00CF57AC">
        <w:rPr>
          <w:rFonts w:ascii="Sylfaen" w:hAnsi="Sylfaen" w:cs="Arial"/>
          <w:sz w:val="22"/>
          <w:szCs w:val="22"/>
          <w:lang w:val="ka-GE"/>
        </w:rPr>
        <w:t>259 155.</w:t>
      </w:r>
      <w:r w:rsidR="00CF57AC" w:rsidRPr="00734D0F">
        <w:rPr>
          <w:rFonts w:ascii="Sylfaen" w:hAnsi="Sylfaen" w:cs="Arial"/>
          <w:sz w:val="22"/>
          <w:szCs w:val="22"/>
          <w:lang w:val="ka-GE"/>
        </w:rPr>
        <w:t>7</w:t>
      </w:r>
      <w:r w:rsidRPr="00734D0F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34D0F">
        <w:rPr>
          <w:rFonts w:ascii="Sylfaen" w:hAnsi="Sylfaen" w:cs="Sylfaen"/>
          <w:sz w:val="22"/>
          <w:szCs w:val="22"/>
          <w:lang w:val="ka-GE"/>
        </w:rPr>
        <w:t>ათასი</w:t>
      </w:r>
      <w:r w:rsidRPr="00734D0F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34D0F">
        <w:rPr>
          <w:rFonts w:ascii="Sylfaen" w:hAnsi="Sylfaen" w:cs="Sylfaen"/>
          <w:sz w:val="22"/>
          <w:szCs w:val="22"/>
          <w:lang w:val="ka-GE"/>
        </w:rPr>
        <w:t xml:space="preserve">ლარი </w:t>
      </w:r>
      <w:r w:rsidR="002C405A" w:rsidRPr="00734D0F">
        <w:rPr>
          <w:rFonts w:ascii="Sylfaen" w:hAnsi="Sylfaen" w:cs="Sylfaen"/>
          <w:sz w:val="22"/>
          <w:szCs w:val="22"/>
          <w:lang w:val="ka-GE"/>
        </w:rPr>
        <w:t>(მათ შორის, „საქართველოს 201</w:t>
      </w:r>
      <w:r w:rsidR="00734D0F" w:rsidRPr="00734D0F">
        <w:rPr>
          <w:rFonts w:ascii="Sylfaen" w:hAnsi="Sylfaen" w:cs="Sylfaen"/>
          <w:sz w:val="22"/>
          <w:szCs w:val="22"/>
          <w:lang w:val="en-US"/>
        </w:rPr>
        <w:t>9</w:t>
      </w:r>
      <w:r w:rsidR="002C405A" w:rsidRPr="00734D0F">
        <w:rPr>
          <w:rFonts w:ascii="Sylfaen" w:hAnsi="Sylfaen" w:cs="Sylfaen"/>
          <w:sz w:val="22"/>
          <w:szCs w:val="22"/>
          <w:lang w:val="ka-GE"/>
        </w:rPr>
        <w:t xml:space="preserve"> წლის სახელმწიფო ბიუჯეტის შესახებ“ საქართველოს კანონის 3</w:t>
      </w:r>
      <w:r w:rsidR="00734D0F" w:rsidRPr="00734D0F">
        <w:rPr>
          <w:rFonts w:ascii="Sylfaen" w:hAnsi="Sylfaen" w:cs="Sylfaen"/>
          <w:sz w:val="22"/>
          <w:szCs w:val="22"/>
          <w:lang w:val="en-US"/>
        </w:rPr>
        <w:t>5</w:t>
      </w:r>
      <w:r w:rsidR="002C405A" w:rsidRPr="00734D0F">
        <w:rPr>
          <w:rFonts w:ascii="Sylfaen" w:hAnsi="Sylfaen" w:cs="Sylfaen"/>
          <w:sz w:val="22"/>
          <w:szCs w:val="22"/>
          <w:lang w:val="ka-GE"/>
        </w:rPr>
        <w:t xml:space="preserve">-ე მუხლის შესაბამისად საჯარო სამართლის იურიდიული პირების მიერ სახელმწიფო ბიუჯეტში მიმართული სახსრები - </w:t>
      </w:r>
      <w:r w:rsidR="00BF12CD" w:rsidRPr="00734D0F">
        <w:rPr>
          <w:rFonts w:ascii="Sylfaen" w:hAnsi="Sylfaen" w:cs="Sylfaen"/>
          <w:sz w:val="22"/>
          <w:szCs w:val="22"/>
          <w:lang w:val="en-US"/>
        </w:rPr>
        <w:t>3</w:t>
      </w:r>
      <w:r w:rsidR="00734D0F" w:rsidRPr="00734D0F">
        <w:rPr>
          <w:rFonts w:ascii="Sylfaen" w:hAnsi="Sylfaen" w:cs="Sylfaen"/>
          <w:sz w:val="22"/>
          <w:szCs w:val="22"/>
          <w:lang w:val="en-US"/>
        </w:rPr>
        <w:t>1</w:t>
      </w:r>
      <w:r w:rsidR="002C405A" w:rsidRPr="00734D0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34D0F" w:rsidRPr="00734D0F">
        <w:rPr>
          <w:rFonts w:ascii="Sylfaen" w:hAnsi="Sylfaen" w:cs="Sylfaen"/>
          <w:sz w:val="22"/>
          <w:szCs w:val="22"/>
          <w:lang w:val="en-US"/>
        </w:rPr>
        <w:t>336</w:t>
      </w:r>
      <w:r w:rsidR="002C405A" w:rsidRPr="00734D0F">
        <w:rPr>
          <w:rFonts w:ascii="Sylfaen" w:hAnsi="Sylfaen" w:cs="Sylfaen"/>
          <w:sz w:val="22"/>
          <w:szCs w:val="22"/>
          <w:lang w:val="ka-GE"/>
        </w:rPr>
        <w:t>.</w:t>
      </w:r>
      <w:r w:rsidR="00BF12CD" w:rsidRPr="00734D0F">
        <w:rPr>
          <w:rFonts w:ascii="Sylfaen" w:hAnsi="Sylfaen" w:cs="Sylfaen"/>
          <w:sz w:val="22"/>
          <w:szCs w:val="22"/>
          <w:lang w:val="en-US"/>
        </w:rPr>
        <w:t>4</w:t>
      </w:r>
      <w:r w:rsidR="009D362D" w:rsidRPr="00734D0F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 w:rsidR="002C405A" w:rsidRPr="00734D0F">
        <w:rPr>
          <w:rFonts w:ascii="Sylfaen" w:hAnsi="Sylfaen" w:cs="Sylfaen"/>
          <w:sz w:val="22"/>
          <w:szCs w:val="22"/>
          <w:lang w:val="ka-GE"/>
        </w:rPr>
        <w:t>ანუ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 xml:space="preserve"> საპროგნოზო მაჩვენებლის 1</w:t>
      </w:r>
      <w:r w:rsidR="00CF57AC">
        <w:rPr>
          <w:rFonts w:ascii="Sylfaen" w:hAnsi="Sylfaen" w:cs="Sylfaen"/>
          <w:sz w:val="22"/>
          <w:szCs w:val="22"/>
          <w:lang w:val="ka-GE"/>
        </w:rPr>
        <w:t>2</w:t>
      </w:r>
      <w:r w:rsidR="00CA46BC" w:rsidRPr="00946034">
        <w:rPr>
          <w:rFonts w:ascii="Sylfaen" w:hAnsi="Sylfaen" w:cs="Sylfaen"/>
          <w:sz w:val="22"/>
          <w:szCs w:val="22"/>
          <w:lang w:val="ka-GE"/>
        </w:rPr>
        <w:t>0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.</w:t>
      </w:r>
      <w:r w:rsidR="00CF57AC">
        <w:rPr>
          <w:rFonts w:ascii="Sylfaen" w:hAnsi="Sylfaen" w:cs="Sylfaen"/>
          <w:sz w:val="22"/>
          <w:szCs w:val="22"/>
          <w:lang w:val="ka-GE"/>
        </w:rPr>
        <w:t>9</w:t>
      </w:r>
      <w:r w:rsidR="002C405A" w:rsidRPr="00946034">
        <w:rPr>
          <w:rFonts w:ascii="Sylfaen" w:hAnsi="Sylfaen" w:cs="Sylfaen"/>
          <w:sz w:val="22"/>
          <w:szCs w:val="22"/>
          <w:lang w:val="ka-GE"/>
        </w:rPr>
        <w:t>%.</w:t>
      </w:r>
    </w:p>
    <w:p w:rsidR="009D362D" w:rsidRDefault="009D362D" w:rsidP="00C86A2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946034" w:rsidRPr="00C86A2A" w:rsidRDefault="00946034" w:rsidP="00C86A2A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6"/>
          <w:szCs w:val="16"/>
          <w:lang w:val="ka-GE"/>
        </w:rPr>
      </w:pPr>
      <w:r w:rsidRPr="00C86A2A">
        <w:rPr>
          <w:rFonts w:ascii="Sylfaen" w:hAnsi="Sylfaen" w:cs="Sylfaen"/>
          <w:i/>
          <w:color w:val="000000"/>
          <w:sz w:val="16"/>
          <w:szCs w:val="16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73"/>
        <w:gridCol w:w="5373"/>
      </w:tblGrid>
      <w:tr w:rsidR="00734D0F" w:rsidRPr="00C86A2A" w:rsidTr="00C86A2A">
        <w:trPr>
          <w:trHeight w:val="692"/>
          <w:tblHeader/>
        </w:trPr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დასახელება</w:t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საანგარიშო პერიოდის ფაქტი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სულ გრანტები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259,155.7</w:t>
            </w:r>
          </w:p>
        </w:tc>
      </w:tr>
      <w:tr w:rsidR="00734D0F" w:rsidRPr="00C86A2A" w:rsidTr="00734D0F">
        <w:trPr>
          <w:trHeight w:val="377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100" w:firstLine="201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მ.შ.ბიუჯეტის მხარდამჭერი გრანტები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127,109.6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100" w:firstLine="201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მ.შ. საინვესტიციო გრანტები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65,551.5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SDC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1,955.5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IFAD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1,499.7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GEF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422.0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EU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2,857.3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SIDA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2,918.0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MCC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53,147.1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KfW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1,831.6</w:t>
            </w:r>
          </w:p>
        </w:tc>
      </w:tr>
      <w:tr w:rsidR="00734D0F" w:rsidRPr="00C86A2A" w:rsidTr="00734D0F">
        <w:trPr>
          <w:trHeight w:val="300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300" w:firstLine="600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CNF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color w:val="000000"/>
                <w:lang w:val="en-US"/>
              </w:rPr>
              <w:t>920.3</w:t>
            </w:r>
          </w:p>
        </w:tc>
      </w:tr>
      <w:tr w:rsidR="00734D0F" w:rsidRPr="00C86A2A" w:rsidTr="00734D0F">
        <w:trPr>
          <w:trHeight w:val="314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firstLineChars="100" w:firstLine="201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მ.შ. ხაზინის ანგარიშზე რიცხული რეესტრის გრანტები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35,158.2</w:t>
            </w:r>
          </w:p>
        </w:tc>
      </w:tr>
      <w:tr w:rsidR="00734D0F" w:rsidRPr="00C86A2A" w:rsidTr="00734D0F">
        <w:trPr>
          <w:trHeight w:val="602"/>
        </w:trPr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ind w:left="180" w:firstLine="1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მ.შ. მიმდინარე გრანტები ცენტრალური სსიპ(ებ)-დან/ა(ა)იპ(ებ)-დან </w:t>
            </w:r>
          </w:p>
        </w:tc>
        <w:tc>
          <w:tcPr>
            <w:tcW w:w="250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34D0F" w:rsidRPr="00C86A2A" w:rsidRDefault="00734D0F" w:rsidP="00C86A2A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C86A2A">
              <w:rPr>
                <w:rFonts w:ascii="Sylfaen" w:hAnsi="Sylfaen" w:cs="Calibri"/>
                <w:b/>
                <w:bCs/>
                <w:color w:val="000000"/>
                <w:lang w:val="en-US"/>
              </w:rPr>
              <w:t>31,336.4</w:t>
            </w:r>
          </w:p>
        </w:tc>
      </w:tr>
    </w:tbl>
    <w:p w:rsidR="00734D0F" w:rsidRDefault="00734D0F" w:rsidP="00C86A2A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734D0F" w:rsidRDefault="00734D0F" w:rsidP="00C86A2A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50373A" w:rsidRPr="00946034" w:rsidRDefault="006577AA" w:rsidP="00C86A2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b/>
          <w:sz w:val="22"/>
          <w:szCs w:val="22"/>
          <w:lang w:val="en-US"/>
        </w:rPr>
        <w:t xml:space="preserve"> 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240 047.5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72465E">
        <w:rPr>
          <w:rFonts w:ascii="Sylfaen" w:hAnsi="Sylfaen" w:cs="Sylfaen"/>
          <w:sz w:val="22"/>
          <w:szCs w:val="22"/>
          <w:lang w:val="ka-GE"/>
        </w:rPr>
        <w:t>ლარის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72465E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იქნა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275 671.3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ანუ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114.8</w:t>
      </w:r>
      <w:r w:rsidRPr="0072465E">
        <w:rPr>
          <w:rFonts w:ascii="Sylfaen" w:hAnsi="Sylfaen" w:cs="Arial"/>
          <w:sz w:val="22"/>
          <w:szCs w:val="22"/>
          <w:lang w:val="ka-GE"/>
        </w:rPr>
        <w:t>%.</w:t>
      </w:r>
      <w:r w:rsidR="0050373A"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DE17C1" w:rsidRPr="00946034" w:rsidRDefault="00DE17C1" w:rsidP="00C86A2A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სხვა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946034">
        <w:rPr>
          <w:rFonts w:ascii="Sylfaen" w:hAnsi="Sylfaen" w:cs="Arial"/>
          <w:sz w:val="22"/>
          <w:szCs w:val="22"/>
          <w:lang w:val="ka-GE"/>
        </w:rPr>
        <w:t>:</w:t>
      </w:r>
    </w:p>
    <w:p w:rsidR="0050373A" w:rsidRPr="00946034" w:rsidRDefault="0050373A" w:rsidP="00C86A2A">
      <w:pPr>
        <w:numPr>
          <w:ilvl w:val="1"/>
          <w:numId w:val="7"/>
        </w:numPr>
        <w:tabs>
          <w:tab w:val="left" w:pos="990"/>
        </w:tabs>
        <w:ind w:left="993" w:hanging="284"/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946034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 </w:t>
      </w:r>
      <w:r w:rsidR="006577AA" w:rsidRPr="0072465E">
        <w:rPr>
          <w:rFonts w:ascii="Sylfaen" w:hAnsi="Sylfaen" w:cs="Sylfaen"/>
          <w:sz w:val="22"/>
          <w:szCs w:val="22"/>
          <w:lang w:val="ka-GE"/>
        </w:rPr>
        <w:t>სახით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="006577AA" w:rsidRPr="0072465E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="006577AA">
        <w:rPr>
          <w:rFonts w:ascii="Sylfaen" w:hAnsi="Sylfaen" w:cs="Arial"/>
          <w:sz w:val="22"/>
          <w:szCs w:val="22"/>
          <w:lang w:val="en-US"/>
        </w:rPr>
        <w:t>142 094.7</w:t>
      </w:r>
      <w:r w:rsidR="006577AA">
        <w:rPr>
          <w:rFonts w:ascii="Sylfaen" w:hAnsi="Sylfaen" w:cs="Arial"/>
          <w:sz w:val="22"/>
          <w:szCs w:val="22"/>
          <w:lang w:val="ka-GE"/>
        </w:rPr>
        <w:t xml:space="preserve"> </w:t>
      </w:r>
      <w:r w:rsidR="006577AA" w:rsidRPr="00105808">
        <w:rPr>
          <w:rFonts w:ascii="Sylfaen" w:hAnsi="Sylfaen" w:cs="Arial"/>
          <w:sz w:val="22"/>
          <w:szCs w:val="22"/>
          <w:lang w:val="ka-GE"/>
        </w:rPr>
        <w:t>ა</w:t>
      </w:r>
      <w:r w:rsidR="006577AA" w:rsidRPr="0072465E">
        <w:rPr>
          <w:rFonts w:ascii="Sylfaen" w:hAnsi="Sylfaen" w:cs="Sylfaen"/>
          <w:sz w:val="22"/>
          <w:szCs w:val="22"/>
          <w:lang w:val="ka-GE"/>
        </w:rPr>
        <w:t>თასი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="006577AA"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="006577AA"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="006577AA"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="006577AA"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 w:rsidR="006577AA">
        <w:rPr>
          <w:rFonts w:ascii="Sylfaen" w:hAnsi="Sylfaen" w:cs="Arial"/>
          <w:sz w:val="22"/>
          <w:szCs w:val="22"/>
          <w:lang w:val="en-US"/>
        </w:rPr>
        <w:t>118 784.5</w:t>
      </w:r>
      <w:r w:rsidR="006577AA">
        <w:rPr>
          <w:rFonts w:ascii="Sylfaen" w:hAnsi="Sylfaen" w:cs="Arial"/>
          <w:sz w:val="22"/>
          <w:szCs w:val="22"/>
          <w:lang w:val="ka-GE"/>
        </w:rPr>
        <w:t xml:space="preserve"> 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="006577AA"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 w:rsidR="006577AA">
        <w:rPr>
          <w:rFonts w:ascii="Sylfaen" w:hAnsi="Sylfaen" w:cs="Arial"/>
          <w:sz w:val="22"/>
          <w:szCs w:val="22"/>
          <w:lang w:val="en-US"/>
        </w:rPr>
        <w:t>119.6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>%-</w:t>
      </w:r>
      <w:r w:rsidR="006577AA"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="006577AA" w:rsidRPr="0072465E">
        <w:rPr>
          <w:rFonts w:ascii="Sylfaen" w:hAnsi="Sylfaen" w:cs="Arial"/>
          <w:sz w:val="22"/>
          <w:szCs w:val="22"/>
          <w:lang w:val="ka-GE"/>
        </w:rPr>
        <w:t>.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აქედან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50373A" w:rsidRPr="00946034" w:rsidRDefault="0050373A" w:rsidP="00C86A2A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>პროცენტები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6577AA">
        <w:rPr>
          <w:rFonts w:ascii="Sylfaen" w:hAnsi="Sylfaen" w:cs="Arial"/>
          <w:sz w:val="22"/>
          <w:szCs w:val="22"/>
          <w:lang w:val="en-US"/>
        </w:rPr>
        <w:t>52 592.9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რაც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(</w:t>
      </w:r>
      <w:r w:rsidR="006577AA">
        <w:rPr>
          <w:rFonts w:ascii="Sylfaen" w:hAnsi="Sylfaen" w:cs="Arial"/>
          <w:sz w:val="22"/>
          <w:szCs w:val="22"/>
          <w:lang w:val="en-US"/>
        </w:rPr>
        <w:t>45 034.5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="00950D04"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) </w:t>
      </w:r>
      <w:r w:rsidR="006577AA">
        <w:rPr>
          <w:rFonts w:ascii="Sylfaen" w:hAnsi="Sylfaen" w:cs="Arial"/>
          <w:sz w:val="22"/>
          <w:szCs w:val="22"/>
          <w:lang w:val="en-US"/>
        </w:rPr>
        <w:t>116.8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%-ს შეადგენს. </w:t>
      </w:r>
    </w:p>
    <w:p w:rsidR="0050373A" w:rsidRPr="00946034" w:rsidRDefault="0050373A" w:rsidP="00C86A2A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lastRenderedPageBreak/>
        <w:t xml:space="preserve">დივიდენდების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6577AA">
        <w:rPr>
          <w:rFonts w:ascii="Sylfaen" w:hAnsi="Sylfaen" w:cs="Sylfaen"/>
          <w:sz w:val="22"/>
          <w:szCs w:val="22"/>
          <w:lang w:val="en-US"/>
        </w:rPr>
        <w:t>80 019.5</w:t>
      </w:r>
      <w:r w:rsidR="006577AA" w:rsidRPr="00BA68F5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 w:rsidR="006577AA" w:rsidRPr="006577AA">
        <w:rPr>
          <w:rFonts w:ascii="Sylfaen" w:hAnsi="Sylfaen" w:cs="Sylfaen"/>
          <w:sz w:val="22"/>
          <w:szCs w:val="22"/>
          <w:lang w:val="en-US"/>
        </w:rPr>
        <w:t>65 150.0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6577AA" w:rsidRPr="006577AA">
        <w:rPr>
          <w:rFonts w:ascii="Sylfaen" w:hAnsi="Sylfaen" w:cs="Sylfaen"/>
          <w:sz w:val="22"/>
          <w:szCs w:val="22"/>
          <w:lang w:val="ka-GE"/>
        </w:rPr>
        <w:t>122.8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%-ს შეადგენს. </w:t>
      </w:r>
      <w:r w:rsidR="00CA46BC" w:rsidRPr="00946034">
        <w:rPr>
          <w:rFonts w:ascii="Sylfaen" w:hAnsi="Sylfaen" w:cs="Sylfaen"/>
          <w:sz w:val="22"/>
          <w:szCs w:val="22"/>
          <w:lang w:val="ka-GE"/>
        </w:rPr>
        <w:t xml:space="preserve">მათ შორის, შემოსავალი ეროვნული ბანკის მოგებიდან </w:t>
      </w:r>
      <w:r w:rsidR="00E07C83" w:rsidRPr="00946034">
        <w:rPr>
          <w:rFonts w:ascii="Sylfaen" w:hAnsi="Sylfaen" w:cs="Sylfaen"/>
          <w:sz w:val="22"/>
          <w:szCs w:val="22"/>
          <w:lang w:val="ka-GE"/>
        </w:rPr>
        <w:t xml:space="preserve"> შეადგენს</w:t>
      </w:r>
      <w:r w:rsidR="0040258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07C83" w:rsidRPr="00946034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577AA">
        <w:rPr>
          <w:rFonts w:ascii="Sylfaen" w:hAnsi="Sylfaen" w:cs="Sylfaen"/>
          <w:sz w:val="22"/>
          <w:szCs w:val="22"/>
          <w:lang w:val="ka-GE"/>
        </w:rPr>
        <w:t>8</w:t>
      </w:r>
      <w:r w:rsidR="00CA46BC" w:rsidRPr="00946034">
        <w:rPr>
          <w:rFonts w:ascii="Sylfaen" w:hAnsi="Sylfaen" w:cs="Sylfaen"/>
          <w:sz w:val="22"/>
          <w:szCs w:val="22"/>
          <w:lang w:val="ka-GE"/>
        </w:rPr>
        <w:t>0 000.0 ათას ლარს.</w:t>
      </w:r>
    </w:p>
    <w:p w:rsidR="0050373A" w:rsidRPr="00946034" w:rsidRDefault="0050373A" w:rsidP="00C86A2A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946034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 w:rsidR="006577AA" w:rsidRPr="006577AA">
        <w:rPr>
          <w:rFonts w:ascii="Sylfaen" w:hAnsi="Sylfaen" w:cs="Sylfaen"/>
          <w:sz w:val="22"/>
          <w:szCs w:val="22"/>
          <w:lang w:val="ka-GE"/>
        </w:rPr>
        <w:t>9 482.3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</w:t>
      </w:r>
      <w:r w:rsidRPr="00946034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950D04" w:rsidRPr="00946034">
        <w:rPr>
          <w:rFonts w:ascii="Sylfaen" w:hAnsi="Sylfaen" w:cs="Sylfaen"/>
          <w:sz w:val="22"/>
          <w:szCs w:val="22"/>
          <w:lang w:val="en-US"/>
        </w:rPr>
        <w:t xml:space="preserve">  </w:t>
      </w:r>
      <w:r w:rsidR="00402587">
        <w:rPr>
          <w:rFonts w:ascii="Sylfaen" w:hAnsi="Sylfaen" w:cs="Sylfaen"/>
          <w:sz w:val="22"/>
          <w:szCs w:val="22"/>
          <w:lang w:val="ka-GE"/>
        </w:rPr>
        <w:t xml:space="preserve">   </w:t>
      </w:r>
      <w:r w:rsidRPr="00946034">
        <w:rPr>
          <w:rFonts w:ascii="Sylfaen" w:hAnsi="Sylfaen" w:cs="Sylfaen"/>
          <w:sz w:val="22"/>
          <w:szCs w:val="22"/>
          <w:lang w:val="ka-GE"/>
        </w:rPr>
        <w:t>(</w:t>
      </w:r>
      <w:r w:rsidR="006577AA" w:rsidRPr="006577AA">
        <w:rPr>
          <w:rFonts w:ascii="Sylfaen" w:hAnsi="Sylfaen" w:cs="Sylfaen"/>
          <w:sz w:val="22"/>
          <w:szCs w:val="22"/>
          <w:lang w:val="ka-GE"/>
        </w:rPr>
        <w:t>8 600.0</w:t>
      </w:r>
      <w:r w:rsidR="006577AA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 w:rsidR="006577AA" w:rsidRPr="006577AA">
        <w:rPr>
          <w:rFonts w:ascii="Sylfaen" w:hAnsi="Sylfaen" w:cs="Sylfaen"/>
          <w:sz w:val="22"/>
          <w:szCs w:val="22"/>
          <w:lang w:val="ka-GE"/>
        </w:rPr>
        <w:t>110.3</w:t>
      </w:r>
      <w:r w:rsidRPr="00946034">
        <w:rPr>
          <w:rFonts w:ascii="Sylfaen" w:hAnsi="Sylfaen" w:cs="Sylfaen"/>
          <w:sz w:val="22"/>
          <w:szCs w:val="22"/>
          <w:lang w:val="ka-GE"/>
        </w:rPr>
        <w:t>%-ია.</w:t>
      </w:r>
    </w:p>
    <w:p w:rsidR="00EB495F" w:rsidRPr="0072465E" w:rsidRDefault="00402587" w:rsidP="00C86A2A">
      <w:pPr>
        <w:numPr>
          <w:ilvl w:val="1"/>
          <w:numId w:val="7"/>
        </w:numPr>
        <w:tabs>
          <w:tab w:val="left" w:pos="851"/>
        </w:tabs>
        <w:ind w:left="851" w:hanging="142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EB495F" w:rsidRPr="0072465E">
        <w:rPr>
          <w:rFonts w:ascii="Sylfaen" w:hAnsi="Sylfaen" w:cs="Sylfaen"/>
          <w:b/>
          <w:sz w:val="22"/>
          <w:szCs w:val="22"/>
          <w:lang w:val="ka-GE"/>
        </w:rPr>
        <w:t>საქონლისა</w:t>
      </w:r>
      <w:r w:rsidR="00EB495F"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="00EB495F" w:rsidRPr="0072465E">
        <w:rPr>
          <w:rFonts w:ascii="Sylfaen" w:hAnsi="Sylfaen" w:cs="Sylfaen"/>
          <w:b/>
          <w:sz w:val="22"/>
          <w:szCs w:val="22"/>
          <w:lang w:val="ka-GE"/>
        </w:rPr>
        <w:t>და</w:t>
      </w:r>
      <w:r w:rsidR="00EB495F"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="00EB495F" w:rsidRPr="0072465E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="00EB495F" w:rsidRPr="0072465E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="00EB495F" w:rsidRPr="0072465E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="00EB495F" w:rsidRPr="0072465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B495F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EB495F" w:rsidRPr="0072465E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 w:rsidR="00EB495F">
        <w:rPr>
          <w:rFonts w:ascii="Sylfaen" w:hAnsi="Sylfaen" w:cs="Sylfaen"/>
          <w:sz w:val="22"/>
          <w:szCs w:val="22"/>
          <w:lang w:val="en-US"/>
        </w:rPr>
        <w:t xml:space="preserve">41 692.7 </w:t>
      </w:r>
      <w:r w:rsidR="00EB495F" w:rsidRPr="0072465E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 w:rsidR="00EB495F">
        <w:rPr>
          <w:rFonts w:ascii="Sylfaen" w:hAnsi="Sylfaen" w:cs="Sylfaen"/>
          <w:sz w:val="22"/>
          <w:szCs w:val="22"/>
          <w:lang w:val="en-US"/>
        </w:rPr>
        <w:t>38 753.3</w:t>
      </w:r>
      <w:r w:rsidR="00EB495F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B495F" w:rsidRPr="0072465E">
        <w:rPr>
          <w:rFonts w:ascii="Sylfaen" w:hAnsi="Sylfaen" w:cs="Sylfaen"/>
          <w:sz w:val="22"/>
          <w:szCs w:val="22"/>
          <w:lang w:val="ka-GE"/>
        </w:rPr>
        <w:t xml:space="preserve">ათასი  ლარი) </w:t>
      </w:r>
      <w:r w:rsidR="00EB495F">
        <w:rPr>
          <w:rFonts w:ascii="Sylfaen" w:hAnsi="Sylfaen" w:cs="Sylfaen"/>
          <w:sz w:val="22"/>
          <w:szCs w:val="22"/>
          <w:lang w:val="en-US"/>
        </w:rPr>
        <w:t>107.6</w:t>
      </w:r>
      <w:r w:rsidR="00EB495F" w:rsidRPr="0072465E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EB495F" w:rsidRPr="0072465E" w:rsidRDefault="00EB495F" w:rsidP="00C86A2A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>
        <w:rPr>
          <w:rFonts w:ascii="Sylfaen" w:hAnsi="Sylfaen" w:cs="Sylfaen"/>
          <w:sz w:val="22"/>
          <w:szCs w:val="22"/>
          <w:lang w:val="en-US"/>
        </w:rPr>
        <w:t>40 315.0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 xml:space="preserve">37 720.8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106.9</w:t>
      </w:r>
      <w:r w:rsidRPr="0072465E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EB495F" w:rsidRPr="0072465E" w:rsidRDefault="00EB495F" w:rsidP="00C86A2A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73.8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64.0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115.3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;</w:t>
      </w:r>
    </w:p>
    <w:p w:rsidR="00EB495F" w:rsidRPr="0072465E" w:rsidRDefault="00EB495F" w:rsidP="00C86A2A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 xml:space="preserve">26 736.5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402587">
        <w:rPr>
          <w:rFonts w:ascii="Sylfaen" w:hAnsi="Sylfaen" w:cs="Arial"/>
          <w:sz w:val="22"/>
          <w:szCs w:val="22"/>
          <w:lang w:val="ka-GE"/>
        </w:rPr>
        <w:t xml:space="preserve">    </w:t>
      </w:r>
      <w:r w:rsidRPr="0072465E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sz w:val="22"/>
          <w:szCs w:val="22"/>
          <w:lang w:val="en-US"/>
        </w:rPr>
        <w:t>26 495.6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100.9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.</w:t>
      </w:r>
    </w:p>
    <w:p w:rsidR="00EB495F" w:rsidRPr="0072465E" w:rsidRDefault="00EB495F" w:rsidP="00C86A2A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en-US"/>
        </w:rPr>
        <w:t>2 329.3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</w:t>
      </w:r>
      <w:r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en-US"/>
        </w:rPr>
        <w:t>890.0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261.7</w:t>
      </w:r>
      <w:r w:rsidRPr="0072465E">
        <w:rPr>
          <w:rFonts w:ascii="Sylfaen" w:hAnsi="Sylfaen" w:cs="Sylfaen"/>
          <w:sz w:val="22"/>
          <w:szCs w:val="22"/>
          <w:lang w:val="ka-GE"/>
        </w:rPr>
        <w:t>%-ია;</w:t>
      </w:r>
    </w:p>
    <w:p w:rsidR="00EB495F" w:rsidRPr="0072465E" w:rsidRDefault="00EB495F" w:rsidP="00C86A2A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ბაჟი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-</w:t>
      </w:r>
      <w:r>
        <w:rPr>
          <w:rFonts w:ascii="Sylfaen" w:hAnsi="Sylfaen" w:cs="Arial"/>
          <w:sz w:val="22"/>
          <w:szCs w:val="22"/>
          <w:lang w:val="en-US"/>
        </w:rPr>
        <w:t xml:space="preserve"> 9 804.7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8 750.0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112.1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;</w:t>
      </w:r>
    </w:p>
    <w:p w:rsidR="00EB495F" w:rsidRPr="0072465E" w:rsidRDefault="00EB495F" w:rsidP="00C86A2A">
      <w:pPr>
        <w:numPr>
          <w:ilvl w:val="2"/>
          <w:numId w:val="7"/>
        </w:numPr>
        <w:tabs>
          <w:tab w:val="left" w:pos="540"/>
          <w:tab w:val="left" w:pos="720"/>
          <w:tab w:val="left" w:pos="108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 xml:space="preserve">737.4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 </w:t>
      </w:r>
      <w:r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728.2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101.3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;</w:t>
      </w:r>
    </w:p>
    <w:p w:rsidR="00EB495F" w:rsidRPr="0072465E" w:rsidRDefault="00EB495F" w:rsidP="00C86A2A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Arial"/>
          <w:sz w:val="22"/>
          <w:szCs w:val="22"/>
          <w:lang w:val="en-US"/>
        </w:rPr>
        <w:t>-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369.9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58</w:t>
      </w:r>
      <w:r w:rsidR="00402587">
        <w:rPr>
          <w:rFonts w:ascii="Sylfaen" w:hAnsi="Sylfaen" w:cs="Arial"/>
          <w:sz w:val="22"/>
          <w:szCs w:val="22"/>
          <w:lang w:val="ka-GE"/>
        </w:rPr>
        <w:t>3</w:t>
      </w:r>
      <w:r>
        <w:rPr>
          <w:rFonts w:ascii="Sylfaen" w:hAnsi="Sylfaen" w:cs="Arial"/>
          <w:sz w:val="22"/>
          <w:szCs w:val="22"/>
          <w:lang w:val="en-US"/>
        </w:rPr>
        <w:t xml:space="preserve">.0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63.</w:t>
      </w:r>
      <w:r w:rsidR="00402587">
        <w:rPr>
          <w:rFonts w:ascii="Sylfaen" w:hAnsi="Sylfaen" w:cs="Arial"/>
          <w:sz w:val="22"/>
          <w:szCs w:val="22"/>
          <w:lang w:val="ka-GE"/>
        </w:rPr>
        <w:t>4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.</w:t>
      </w:r>
    </w:p>
    <w:p w:rsidR="00EB495F" w:rsidRPr="0072465E" w:rsidRDefault="00EB495F" w:rsidP="00C86A2A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>სხვა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სახით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263.3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72465E">
        <w:rPr>
          <w:rFonts w:ascii="Sylfaen" w:hAnsi="Sylfaen" w:cs="Sylfaen"/>
          <w:sz w:val="22"/>
          <w:szCs w:val="22"/>
          <w:lang w:val="ka-GE"/>
        </w:rPr>
        <w:t>რაც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210.0</w:t>
      </w:r>
      <w:r w:rsidR="00402587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ლარი</w:t>
      </w:r>
      <w:r w:rsidRPr="0072465E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125.4</w:t>
      </w:r>
      <w:r w:rsidRPr="0072465E">
        <w:rPr>
          <w:rFonts w:ascii="Sylfaen" w:hAnsi="Sylfaen" w:cs="Arial"/>
          <w:sz w:val="22"/>
          <w:szCs w:val="22"/>
          <w:lang w:val="ka-GE"/>
        </w:rPr>
        <w:t>%-</w:t>
      </w:r>
      <w:r w:rsidRPr="0072465E">
        <w:rPr>
          <w:rFonts w:ascii="Sylfaen" w:hAnsi="Sylfaen" w:cs="Sylfaen"/>
          <w:sz w:val="22"/>
          <w:szCs w:val="22"/>
          <w:lang w:val="ka-GE"/>
        </w:rPr>
        <w:t>ია</w:t>
      </w:r>
      <w:r w:rsidRPr="0072465E">
        <w:rPr>
          <w:rFonts w:ascii="Sylfaen" w:hAnsi="Sylfaen" w:cs="Arial"/>
          <w:sz w:val="22"/>
          <w:szCs w:val="22"/>
          <w:lang w:val="ka-GE"/>
        </w:rPr>
        <w:t>.</w:t>
      </w:r>
    </w:p>
    <w:p w:rsidR="00EB495F" w:rsidRPr="0072465E" w:rsidRDefault="00EB495F" w:rsidP="00C86A2A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en-US"/>
        </w:rPr>
        <w:t>1 377.7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1 032.5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133.4</w:t>
      </w:r>
      <w:r w:rsidRPr="0072465E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:rsidR="00EB495F" w:rsidRPr="0072465E" w:rsidRDefault="00EB495F" w:rsidP="00C86A2A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 xml:space="preserve">საქონლის რეალიზაციიდან - </w:t>
      </w:r>
      <w:r>
        <w:rPr>
          <w:rFonts w:ascii="Sylfaen" w:hAnsi="Sylfaen" w:cs="Sylfaen"/>
          <w:sz w:val="22"/>
          <w:szCs w:val="22"/>
          <w:lang w:val="en-US"/>
        </w:rPr>
        <w:t xml:space="preserve">11.2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32.5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34.3</w:t>
      </w:r>
      <w:r w:rsidRPr="0072465E">
        <w:rPr>
          <w:rFonts w:ascii="Sylfaen" w:hAnsi="Sylfaen" w:cs="Sylfaen"/>
          <w:sz w:val="22"/>
          <w:szCs w:val="22"/>
          <w:lang w:val="ka-GE"/>
        </w:rPr>
        <w:t>%-ია;</w:t>
      </w:r>
    </w:p>
    <w:p w:rsidR="00EB495F" w:rsidRDefault="00EB495F" w:rsidP="00C86A2A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sz w:val="22"/>
          <w:szCs w:val="22"/>
          <w:lang w:val="ka-GE"/>
        </w:rPr>
        <w:t xml:space="preserve">მომსახურების გაწევიდან - </w:t>
      </w:r>
      <w:r>
        <w:rPr>
          <w:rFonts w:ascii="Sylfaen" w:hAnsi="Sylfaen" w:cs="Sylfaen"/>
          <w:sz w:val="22"/>
          <w:szCs w:val="22"/>
          <w:lang w:val="en-US"/>
        </w:rPr>
        <w:t>1 361.4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1 000.0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136.1</w:t>
      </w:r>
      <w:r w:rsidRPr="0072465E">
        <w:rPr>
          <w:rFonts w:ascii="Sylfaen" w:hAnsi="Sylfaen" w:cs="Sylfaen"/>
          <w:sz w:val="22"/>
          <w:szCs w:val="22"/>
          <w:lang w:val="ka-GE"/>
        </w:rPr>
        <w:t>%-ია;</w:t>
      </w:r>
    </w:p>
    <w:p w:rsidR="00EB495F" w:rsidRPr="0072465E" w:rsidRDefault="00EB495F" w:rsidP="00C86A2A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DF1085">
        <w:rPr>
          <w:rFonts w:ascii="Sylfaen" w:hAnsi="Sylfaen" w:cs="Sylfaen"/>
          <w:sz w:val="22"/>
          <w:szCs w:val="22"/>
          <w:lang w:val="ka-GE"/>
        </w:rPr>
        <w:t>სხვა შემოსავლები არასაბაზ</w:t>
      </w:r>
      <w:r>
        <w:rPr>
          <w:rFonts w:ascii="Sylfaen" w:hAnsi="Sylfaen" w:cs="Sylfaen"/>
          <w:sz w:val="22"/>
          <w:szCs w:val="22"/>
          <w:lang w:val="ka-GE"/>
        </w:rPr>
        <w:t xml:space="preserve">რო წესით გაყიდული საქონლიდან </w:t>
      </w:r>
      <w:r w:rsidRPr="00DF1085">
        <w:rPr>
          <w:rFonts w:ascii="Sylfaen" w:hAnsi="Sylfaen" w:cs="Sylfaen"/>
          <w:sz w:val="22"/>
          <w:szCs w:val="22"/>
          <w:lang w:val="ka-GE"/>
        </w:rPr>
        <w:t>მომსახურებიდან</w:t>
      </w:r>
      <w:r w:rsidRPr="00AE5ABC">
        <w:rPr>
          <w:rFonts w:ascii="Sylfaen" w:hAnsi="Sylfaen" w:cs="Sylfaen"/>
          <w:sz w:val="22"/>
          <w:szCs w:val="22"/>
          <w:lang w:val="ka-GE"/>
        </w:rPr>
        <w:t xml:space="preserve"> - მობილიზებულია  5.1 ათასი   ლარი </w:t>
      </w:r>
      <w:r>
        <w:rPr>
          <w:rFonts w:ascii="Sylfaen" w:hAnsi="Sylfaen" w:cs="Sylfaen"/>
          <w:sz w:val="22"/>
          <w:szCs w:val="22"/>
          <w:lang w:val="en-US"/>
        </w:rPr>
        <w:t>.</w:t>
      </w:r>
    </w:p>
    <w:p w:rsidR="00EB495F" w:rsidRPr="001F3D1F" w:rsidRDefault="00EB495F" w:rsidP="00C86A2A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72465E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 xml:space="preserve">44 308.8 </w:t>
      </w:r>
      <w:r w:rsidRPr="0072465E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40 500.0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109.4</w:t>
      </w:r>
      <w:r w:rsidRPr="0072465E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EB495F" w:rsidRDefault="00EB495F" w:rsidP="00C86A2A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b/>
          <w:sz w:val="22"/>
          <w:szCs w:val="22"/>
          <w:lang w:val="ka-GE"/>
        </w:rPr>
        <w:t xml:space="preserve">ნებაყოფლობითი ტრანსფერები გრანტების გარეშე </w:t>
      </w:r>
      <w:r w:rsidRPr="001F3D1F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 xml:space="preserve">3 319.7 </w:t>
      </w:r>
      <w:r>
        <w:rPr>
          <w:rFonts w:ascii="Sylfaen" w:hAnsi="Sylfaen" w:cs="Sylfaen"/>
          <w:sz w:val="22"/>
          <w:szCs w:val="22"/>
          <w:lang w:val="ka-GE"/>
        </w:rPr>
        <w:t>ათასი ლარი.</w:t>
      </w:r>
    </w:p>
    <w:p w:rsidR="0050373A" w:rsidRPr="00616D0C" w:rsidRDefault="00EB495F" w:rsidP="00C86A2A">
      <w:pPr>
        <w:pStyle w:val="ListParagraph"/>
        <w:numPr>
          <w:ilvl w:val="1"/>
          <w:numId w:val="7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ED729C">
        <w:rPr>
          <w:rFonts w:ascii="Sylfaen" w:hAnsi="Sylfaen" w:cs="Sylfaen"/>
          <w:b/>
          <w:sz w:val="22"/>
          <w:szCs w:val="22"/>
          <w:lang w:val="ka-GE"/>
        </w:rPr>
        <w:t xml:space="preserve">შერეული და სხვა არაკლასიფიცირებული </w:t>
      </w:r>
      <w:r w:rsidRPr="00616D0C">
        <w:rPr>
          <w:rFonts w:ascii="Sylfaen" w:hAnsi="Sylfaen" w:cs="Sylfaen"/>
          <w:sz w:val="22"/>
          <w:szCs w:val="22"/>
          <w:lang w:val="ka-GE"/>
        </w:rPr>
        <w:t>შემოსავლების სახით მობილიზებულია  44 255.4 ათასი ლარი, რაც საპროგნოზო მაჩვენებლის (42 009.7 ათასი ლარი) 105.3%-ია.</w:t>
      </w:r>
    </w:p>
    <w:p w:rsidR="00EB495F" w:rsidRPr="00946034" w:rsidRDefault="00EB495F" w:rsidP="00C86A2A">
      <w:pPr>
        <w:pStyle w:val="ListParagraph"/>
        <w:ind w:left="107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950D04" w:rsidRPr="00402587" w:rsidRDefault="00DE17C1" w:rsidP="00C86A2A">
      <w:pPr>
        <w:jc w:val="center"/>
        <w:rPr>
          <w:rFonts w:ascii="Sylfaen" w:hAnsi="Sylfaen" w:cs="Arial"/>
          <w:b/>
          <w:sz w:val="22"/>
          <w:szCs w:val="22"/>
          <w:lang w:val="fr-FR"/>
        </w:rPr>
      </w:pPr>
      <w:r w:rsidRPr="00402587">
        <w:rPr>
          <w:rFonts w:ascii="Sylfaen" w:hAnsi="Sylfaen" w:cs="Sylfaen"/>
          <w:b/>
          <w:sz w:val="22"/>
          <w:szCs w:val="22"/>
          <w:lang w:val="fr-FR"/>
        </w:rPr>
        <w:t>201</w:t>
      </w:r>
      <w:r w:rsidR="006577AA" w:rsidRPr="00402587">
        <w:rPr>
          <w:rFonts w:ascii="Sylfaen" w:hAnsi="Sylfaen" w:cs="Sylfaen"/>
          <w:b/>
          <w:sz w:val="22"/>
          <w:szCs w:val="22"/>
          <w:lang w:val="ka-GE"/>
        </w:rPr>
        <w:t>9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 xml:space="preserve"> წლის </w:t>
      </w:r>
      <w:r w:rsidRPr="00402587">
        <w:rPr>
          <w:rFonts w:ascii="Sylfaen" w:hAnsi="Sylfaen" w:cs="Sylfaen"/>
          <w:b/>
          <w:sz w:val="22"/>
          <w:szCs w:val="22"/>
          <w:lang w:val="ka-GE"/>
        </w:rPr>
        <w:t>იანვარ-</w:t>
      </w:r>
      <w:r w:rsidR="0050373A" w:rsidRPr="00402587">
        <w:rPr>
          <w:rFonts w:ascii="Sylfaen" w:hAnsi="Sylfaen" w:cs="Sylfaen"/>
          <w:b/>
          <w:sz w:val="22"/>
          <w:szCs w:val="22"/>
          <w:lang w:val="ka-GE"/>
        </w:rPr>
        <w:t>ივნის</w:t>
      </w:r>
      <w:r w:rsidRPr="00402587">
        <w:rPr>
          <w:rFonts w:ascii="Sylfaen" w:hAnsi="Sylfaen" w:cs="Sylfaen"/>
          <w:b/>
          <w:sz w:val="22"/>
          <w:szCs w:val="22"/>
          <w:lang w:val="ka-GE"/>
        </w:rPr>
        <w:t xml:space="preserve">ის სახელმწიფო ბიუჯეტის 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>სხვა</w:t>
      </w:r>
      <w:r w:rsidRPr="0040258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</w:p>
    <w:p w:rsidR="00DE17C1" w:rsidRPr="00402587" w:rsidRDefault="00DE17C1" w:rsidP="00C86A2A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r w:rsidRPr="00402587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r w:rsidRPr="00402587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r w:rsidRPr="00402587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</w:p>
    <w:p w:rsidR="00DE17C1" w:rsidRDefault="00DE17C1" w:rsidP="00C86A2A">
      <w:pPr>
        <w:jc w:val="center"/>
        <w:rPr>
          <w:rFonts w:ascii="Sylfaen" w:hAnsi="Sylfaen" w:cs="Arial"/>
          <w:b/>
          <w:sz w:val="22"/>
          <w:szCs w:val="22"/>
          <w:lang w:val="en-US"/>
        </w:rPr>
      </w:pPr>
    </w:p>
    <w:p w:rsidR="00946034" w:rsidRPr="00C86A2A" w:rsidRDefault="00946034" w:rsidP="00C86A2A">
      <w:pPr>
        <w:pStyle w:val="BodyTextIndent2"/>
        <w:tabs>
          <w:tab w:val="num" w:pos="0"/>
        </w:tabs>
        <w:ind w:firstLine="0"/>
        <w:jc w:val="right"/>
        <w:rPr>
          <w:rFonts w:ascii="Sylfaen" w:hAnsi="Sylfaen" w:cs="Sylfaen"/>
          <w:i/>
          <w:color w:val="000000"/>
          <w:sz w:val="16"/>
          <w:szCs w:val="16"/>
          <w:lang w:val="ka-GE"/>
        </w:rPr>
      </w:pPr>
      <w:r w:rsidRPr="00C86A2A">
        <w:rPr>
          <w:rFonts w:ascii="Sylfaen" w:hAnsi="Sylfaen" w:cs="Sylfaen"/>
          <w:i/>
          <w:color w:val="000000"/>
          <w:sz w:val="16"/>
          <w:szCs w:val="16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85"/>
        <w:gridCol w:w="1730"/>
        <w:gridCol w:w="1545"/>
        <w:gridCol w:w="1403"/>
        <w:gridCol w:w="1483"/>
      </w:tblGrid>
      <w:tr w:rsidR="00EB495F" w:rsidRPr="00C86A2A" w:rsidTr="00C86A2A">
        <w:trPr>
          <w:trHeight w:val="670"/>
          <w:tblHeader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495F" w:rsidRPr="00C86A2A" w:rsidRDefault="00EB495F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495F" w:rsidRPr="00C86A2A" w:rsidRDefault="00EB495F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495F" w:rsidRPr="00C86A2A" w:rsidRDefault="00EB495F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495F" w:rsidRPr="00C86A2A" w:rsidRDefault="00EB495F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495F" w:rsidRPr="00C86A2A" w:rsidRDefault="00EB495F" w:rsidP="00C86A2A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EB495F" w:rsidRPr="00C86A2A" w:rsidTr="00C86A2A">
        <w:trPr>
          <w:trHeight w:val="224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EB495F" w:rsidRPr="00C86A2A" w:rsidRDefault="00EB495F" w:rsidP="00C86A2A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სხვა შემოსავლები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240,047.5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275,671.3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35,623.8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114.8</w:t>
            </w:r>
          </w:p>
        </w:tc>
      </w:tr>
      <w:tr w:rsidR="00EB495F" w:rsidRPr="00C86A2A" w:rsidTr="00C86A2A">
        <w:trPr>
          <w:trHeight w:val="224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შემოსავლები საკუთრებიდან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118,784.5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142,094.7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23,310.2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119.6</w:t>
            </w:r>
          </w:p>
        </w:tc>
      </w:tr>
      <w:tr w:rsidR="00EB495F" w:rsidRPr="00C86A2A" w:rsidTr="00C86A2A">
        <w:trPr>
          <w:trHeight w:val="251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rPr>
                <w:rFonts w:ascii="Sylfaen" w:hAnsi="Sylfaen" w:cs="Arial"/>
                <w:bCs/>
                <w:lang w:val="en-US"/>
              </w:rPr>
            </w:pPr>
            <w:r w:rsidRPr="00C86A2A">
              <w:rPr>
                <w:rFonts w:ascii="Sylfaen" w:hAnsi="Sylfaen" w:cs="Arial"/>
                <w:bCs/>
                <w:lang w:val="en-US"/>
              </w:rPr>
              <w:t xml:space="preserve">      პროცენტები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45,034.5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52,592.9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7,558.4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116.8</w:t>
            </w:r>
          </w:p>
        </w:tc>
      </w:tr>
      <w:tr w:rsidR="00EB495F" w:rsidRPr="00C86A2A" w:rsidTr="00C86A2A">
        <w:trPr>
          <w:trHeight w:val="235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C86A2A">
              <w:rPr>
                <w:rFonts w:ascii="Sylfaen" w:hAnsi="Sylfaen" w:cs="Arial"/>
                <w:bCs/>
                <w:lang w:val="en-US"/>
              </w:rPr>
              <w:t>დივიდენდები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65,150.0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80,019.5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14,869.5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122.8</w:t>
            </w:r>
          </w:p>
        </w:tc>
      </w:tr>
      <w:tr w:rsidR="00EB495F" w:rsidRPr="00C86A2A" w:rsidTr="00C86A2A">
        <w:trPr>
          <w:trHeight w:val="246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r w:rsidRPr="00C86A2A">
              <w:rPr>
                <w:rFonts w:ascii="Sylfaen" w:hAnsi="Sylfaen" w:cs="Arial"/>
                <w:bCs/>
                <w:lang w:val="en-US"/>
              </w:rPr>
              <w:t>რენტა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8,600.0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9,482.3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882.3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110.3</w:t>
            </w:r>
          </w:p>
        </w:tc>
      </w:tr>
      <w:tr w:rsidR="00EB495F" w:rsidRPr="00C86A2A" w:rsidTr="00C86A2A">
        <w:trPr>
          <w:trHeight w:val="332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საქონლისა და მომსახურების რეალიზაცია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38,753.3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41,692.7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2,939.4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107.6</w:t>
            </w:r>
          </w:p>
        </w:tc>
      </w:tr>
      <w:tr w:rsidR="00EB495F" w:rsidRPr="00C86A2A" w:rsidTr="00C86A2A">
        <w:trPr>
          <w:trHeight w:val="584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27" w:firstLine="255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lastRenderedPageBreak/>
              <w:t>ადმინისტრაციული მოსაკრებლები და გადასახდელები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37,720.8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40,315.0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2,594.2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106.9</w:t>
            </w:r>
          </w:p>
        </w:tc>
      </w:tr>
      <w:tr w:rsidR="00EB495F" w:rsidRPr="00C86A2A" w:rsidTr="00C86A2A">
        <w:trPr>
          <w:trHeight w:val="269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სალიცენზიო მოსაკრებლები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64.0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73.8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9.8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115.3</w:t>
            </w:r>
          </w:p>
        </w:tc>
      </w:tr>
      <w:tr w:rsidR="00EB495F" w:rsidRPr="00C86A2A" w:rsidTr="00C86A2A">
        <w:trPr>
          <w:trHeight w:val="269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სანებართვო მოსაკრებლები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26,495.6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26,736.5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240.9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100.9</w:t>
            </w:r>
          </w:p>
        </w:tc>
      </w:tr>
      <w:tr w:rsidR="00EB495F" w:rsidRPr="00C86A2A" w:rsidTr="00C86A2A">
        <w:trPr>
          <w:trHeight w:val="269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სარეგისტრაციო მოსაკრებლები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890.0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2,329.3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1,439.3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261.7</w:t>
            </w:r>
          </w:p>
        </w:tc>
      </w:tr>
      <w:tr w:rsidR="00EB495F" w:rsidRPr="00C86A2A" w:rsidTr="00C86A2A">
        <w:trPr>
          <w:trHeight w:val="269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სახელმწიფო ბაჟი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8,750.0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9,804.7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1,054.7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112.1</w:t>
            </w:r>
          </w:p>
        </w:tc>
      </w:tr>
      <w:tr w:rsidR="00EB495F" w:rsidRPr="00C86A2A" w:rsidTr="00C86A2A">
        <w:trPr>
          <w:trHeight w:val="269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საკონსულო მოსაკრებელი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728.2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737.4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9.2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101.3</w:t>
            </w:r>
          </w:p>
        </w:tc>
      </w:tr>
      <w:tr w:rsidR="00EB495F" w:rsidRPr="00C86A2A" w:rsidTr="00C86A2A">
        <w:trPr>
          <w:trHeight w:val="425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სამხედრო სავალდებულო სამსახურის გადავადების მოსაკრებელი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583.0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860E05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369.</w:t>
            </w:r>
            <w:r w:rsidR="00EB495F" w:rsidRPr="00C86A2A">
              <w:rPr>
                <w:rFonts w:ascii="Sylfaen" w:hAnsi="Sylfaen"/>
              </w:rPr>
              <w:t>9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-213.11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63.4</w:t>
            </w:r>
          </w:p>
        </w:tc>
      </w:tr>
      <w:tr w:rsidR="00EB495F" w:rsidRPr="00C86A2A" w:rsidTr="00C86A2A">
        <w:trPr>
          <w:trHeight w:val="269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სხვა არაკლასიფიცირებული მოსაკრებელი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210.0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263.3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53.3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125.4</w:t>
            </w:r>
          </w:p>
        </w:tc>
      </w:tr>
      <w:tr w:rsidR="00EB495F" w:rsidRPr="00C86A2A" w:rsidTr="00C86A2A">
        <w:trPr>
          <w:trHeight w:val="447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არასაბაზრო წესით გაყიდული საქონელი და მომსახურება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1,032.5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1,377.7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345.2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133.4</w:t>
            </w:r>
          </w:p>
        </w:tc>
      </w:tr>
      <w:tr w:rsidR="00EB495F" w:rsidRPr="00C86A2A" w:rsidTr="00C86A2A">
        <w:trPr>
          <w:trHeight w:val="224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შემოსავლები საქონლის რეალიზაციიდან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32.5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11.2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-21.3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34.3</w:t>
            </w:r>
          </w:p>
        </w:tc>
      </w:tr>
      <w:tr w:rsidR="00EB495F" w:rsidRPr="00C86A2A" w:rsidTr="00C86A2A">
        <w:trPr>
          <w:trHeight w:val="350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შემოსავლები მომსახურების გაწევიდან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1,000.0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1,361.4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361.4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136.1</w:t>
            </w:r>
          </w:p>
        </w:tc>
      </w:tr>
      <w:tr w:rsidR="00EB495F" w:rsidRPr="00C86A2A" w:rsidTr="00C86A2A">
        <w:trPr>
          <w:trHeight w:val="350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495F" w:rsidRPr="00C86A2A" w:rsidRDefault="00EB495F" w:rsidP="00C86A2A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C86A2A">
              <w:rPr>
                <w:rFonts w:ascii="Sylfaen" w:hAnsi="Sylfaen" w:cs="Arial"/>
                <w:lang w:val="en-US"/>
              </w:rPr>
              <w:t>სხვა შემოსავლები არასაბაზრო წესით გაყიდული საქონლიდან და მომსახურებიდან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5.1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  <w:r w:rsidRPr="00C86A2A">
              <w:rPr>
                <w:rFonts w:ascii="Sylfaen" w:hAnsi="Sylfaen"/>
              </w:rPr>
              <w:t>5.1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</w:rPr>
            </w:pPr>
          </w:p>
        </w:tc>
      </w:tr>
      <w:tr w:rsidR="00EB495F" w:rsidRPr="00C86A2A" w:rsidTr="00C86A2A">
        <w:trPr>
          <w:trHeight w:val="224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სანქციები (ჯარიმები და საურავები)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40,500.0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44,308.8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3,808.8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109.4</w:t>
            </w:r>
          </w:p>
        </w:tc>
      </w:tr>
      <w:tr w:rsidR="00EB495F" w:rsidRPr="00C86A2A" w:rsidTr="00C86A2A">
        <w:trPr>
          <w:trHeight w:val="447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ნებაყოფლობითი ტრანსფერები, გრანტების გარდა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3,319.7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3,319.7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</w:p>
        </w:tc>
      </w:tr>
      <w:tr w:rsidR="00EB495F" w:rsidRPr="00C86A2A" w:rsidTr="00C86A2A">
        <w:trPr>
          <w:trHeight w:val="447"/>
        </w:trPr>
        <w:tc>
          <w:tcPr>
            <w:tcW w:w="21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495F" w:rsidRPr="00C86A2A" w:rsidRDefault="00EB495F" w:rsidP="00C86A2A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r w:rsidRPr="00C86A2A">
              <w:rPr>
                <w:rFonts w:ascii="Sylfaen" w:hAnsi="Sylfaen" w:cs="Arial"/>
                <w:b/>
                <w:bCs/>
                <w:lang w:val="en-US"/>
              </w:rPr>
              <w:t>შერეული და სხვა არაკლასიფიცირებული შემოსავლები</w:t>
            </w:r>
          </w:p>
        </w:tc>
        <w:tc>
          <w:tcPr>
            <w:tcW w:w="8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42,009.7</w:t>
            </w:r>
          </w:p>
        </w:tc>
        <w:tc>
          <w:tcPr>
            <w:tcW w:w="7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44,255.4</w:t>
            </w: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2,245.7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EB495F" w:rsidRPr="00C86A2A" w:rsidRDefault="00EB495F" w:rsidP="00C86A2A">
            <w:pPr>
              <w:jc w:val="right"/>
              <w:rPr>
                <w:rFonts w:ascii="Sylfaen" w:hAnsi="Sylfaen"/>
                <w:b/>
              </w:rPr>
            </w:pPr>
            <w:r w:rsidRPr="00C86A2A">
              <w:rPr>
                <w:rFonts w:ascii="Sylfaen" w:hAnsi="Sylfaen"/>
                <w:b/>
              </w:rPr>
              <w:t>105.3</w:t>
            </w:r>
          </w:p>
        </w:tc>
      </w:tr>
    </w:tbl>
    <w:p w:rsidR="00DE17C1" w:rsidRPr="00946034" w:rsidRDefault="00DE17C1" w:rsidP="00C86A2A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EB495F" w:rsidRPr="00E87821" w:rsidRDefault="00EB495F" w:rsidP="00C86A2A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E87821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E8782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იქნა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 xml:space="preserve">44 512.7  </w:t>
      </w:r>
      <w:r w:rsidRPr="00E87821">
        <w:rPr>
          <w:rFonts w:ascii="Sylfaen" w:hAnsi="Sylfaen" w:cs="Sylfaen"/>
          <w:sz w:val="22"/>
          <w:szCs w:val="22"/>
          <w:lang w:val="ka-GE"/>
        </w:rPr>
        <w:t>ათასი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ლარი</w:t>
      </w:r>
      <w:r w:rsidRPr="00E87821">
        <w:rPr>
          <w:rFonts w:ascii="Sylfaen" w:hAnsi="Sylfaen"/>
          <w:sz w:val="22"/>
          <w:szCs w:val="22"/>
          <w:lang w:val="ka-GE"/>
        </w:rPr>
        <w:t xml:space="preserve">, </w:t>
      </w:r>
      <w:r w:rsidRPr="00E87821">
        <w:rPr>
          <w:rFonts w:ascii="Sylfaen" w:hAnsi="Sylfaen" w:cs="Sylfaen"/>
          <w:sz w:val="22"/>
          <w:szCs w:val="22"/>
          <w:lang w:val="ka-GE"/>
        </w:rPr>
        <w:t>რაც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E87821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en-US"/>
        </w:rPr>
        <w:t>33 100.0</w:t>
      </w:r>
      <w:r w:rsidRPr="00E87821">
        <w:rPr>
          <w:rFonts w:ascii="Sylfaen" w:hAnsi="Sylfaen"/>
          <w:sz w:val="22"/>
          <w:szCs w:val="22"/>
          <w:lang w:val="en-US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ათასი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ლარი</w:t>
      </w:r>
      <w:r w:rsidRPr="00E87821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en-US"/>
        </w:rPr>
        <w:t>134.5</w:t>
      </w:r>
      <w:r w:rsidRPr="00E87821">
        <w:rPr>
          <w:rFonts w:ascii="Sylfaen" w:hAnsi="Sylfaen"/>
          <w:sz w:val="22"/>
          <w:szCs w:val="22"/>
          <w:lang w:val="ka-GE"/>
        </w:rPr>
        <w:t>%-</w:t>
      </w:r>
      <w:r w:rsidRPr="00E87821">
        <w:rPr>
          <w:rFonts w:ascii="Sylfaen" w:hAnsi="Sylfaen" w:cs="Sylfaen"/>
          <w:sz w:val="22"/>
          <w:szCs w:val="22"/>
          <w:lang w:val="ka-GE"/>
        </w:rPr>
        <w:t>ია</w:t>
      </w:r>
      <w:r w:rsidRPr="00E87821">
        <w:rPr>
          <w:rFonts w:ascii="Sylfaen" w:hAnsi="Sylfaen"/>
          <w:sz w:val="22"/>
          <w:szCs w:val="22"/>
          <w:lang w:val="ka-GE"/>
        </w:rPr>
        <w:t>.</w:t>
      </w:r>
    </w:p>
    <w:p w:rsidR="00EB495F" w:rsidRDefault="00EB495F" w:rsidP="00C86A2A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EB495F" w:rsidRDefault="00EB495F" w:rsidP="00C86A2A">
      <w:pPr>
        <w:ind w:firstLine="720"/>
        <w:jc w:val="both"/>
        <w:rPr>
          <w:rFonts w:ascii="Sylfaen" w:hAnsi="Sylfaen"/>
          <w:sz w:val="22"/>
          <w:szCs w:val="22"/>
          <w:lang w:val="en-US"/>
        </w:rPr>
      </w:pPr>
      <w:r w:rsidRPr="00E87821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E87821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იქნა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en-US"/>
        </w:rPr>
        <w:t xml:space="preserve">47 354.3 </w:t>
      </w:r>
      <w:r w:rsidRPr="00E87821">
        <w:rPr>
          <w:rFonts w:ascii="Sylfaen" w:hAnsi="Sylfaen" w:cs="Sylfaen"/>
          <w:sz w:val="22"/>
          <w:szCs w:val="22"/>
          <w:lang w:val="ka-GE"/>
        </w:rPr>
        <w:t>ათასი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ლარი</w:t>
      </w:r>
      <w:r w:rsidRPr="00E87821">
        <w:rPr>
          <w:rFonts w:ascii="Sylfaen" w:hAnsi="Sylfaen"/>
          <w:sz w:val="22"/>
          <w:szCs w:val="22"/>
          <w:lang w:val="ka-GE"/>
        </w:rPr>
        <w:t xml:space="preserve">, </w:t>
      </w:r>
      <w:r w:rsidRPr="00E87821">
        <w:rPr>
          <w:rFonts w:ascii="Sylfaen" w:hAnsi="Sylfaen" w:cs="Sylfaen"/>
          <w:sz w:val="22"/>
          <w:szCs w:val="22"/>
          <w:lang w:val="ka-GE"/>
        </w:rPr>
        <w:t>რაც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E87821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en-US"/>
        </w:rPr>
        <w:t>41 500.0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ათასი</w:t>
      </w:r>
      <w:r w:rsidRPr="00E87821">
        <w:rPr>
          <w:rFonts w:ascii="Sylfaen" w:hAnsi="Sylfaen"/>
          <w:sz w:val="22"/>
          <w:szCs w:val="22"/>
          <w:lang w:val="ka-GE"/>
        </w:rPr>
        <w:t xml:space="preserve"> </w:t>
      </w:r>
      <w:r w:rsidRPr="00E87821">
        <w:rPr>
          <w:rFonts w:ascii="Sylfaen" w:hAnsi="Sylfaen" w:cs="Sylfaen"/>
          <w:sz w:val="22"/>
          <w:szCs w:val="22"/>
          <w:lang w:val="ka-GE"/>
        </w:rPr>
        <w:t>ლარი</w:t>
      </w:r>
      <w:r w:rsidRPr="00E87821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en-US"/>
        </w:rPr>
        <w:t>114.1</w:t>
      </w:r>
      <w:r w:rsidRPr="00E87821">
        <w:rPr>
          <w:rFonts w:ascii="Sylfaen" w:hAnsi="Sylfaen"/>
          <w:sz w:val="22"/>
          <w:szCs w:val="22"/>
          <w:lang w:val="ka-GE"/>
        </w:rPr>
        <w:t>%-</w:t>
      </w:r>
      <w:r w:rsidRPr="00E87821">
        <w:rPr>
          <w:rFonts w:ascii="Sylfaen" w:hAnsi="Sylfaen" w:cs="Sylfaen"/>
          <w:sz w:val="22"/>
          <w:szCs w:val="22"/>
          <w:lang w:val="ka-GE"/>
        </w:rPr>
        <w:t>ია</w:t>
      </w:r>
      <w:r w:rsidRPr="00E87821">
        <w:rPr>
          <w:rFonts w:ascii="Sylfaen" w:hAnsi="Sylfaen"/>
          <w:sz w:val="22"/>
          <w:szCs w:val="22"/>
          <w:lang w:val="ka-GE"/>
        </w:rPr>
        <w:t>.</w:t>
      </w:r>
    </w:p>
    <w:p w:rsidR="00763E4B" w:rsidRPr="00946034" w:rsidRDefault="00763E4B" w:rsidP="00C86A2A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sectPr w:rsidR="00763E4B" w:rsidRPr="00946034" w:rsidSect="00201900">
      <w:footerReference w:type="default" r:id="rId8"/>
      <w:pgSz w:w="12240" w:h="15840"/>
      <w:pgMar w:top="360" w:right="810" w:bottom="270" w:left="90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9A4" w:rsidRDefault="005A79A4" w:rsidP="002E0529">
      <w:r>
        <w:separator/>
      </w:r>
    </w:p>
  </w:endnote>
  <w:endnote w:type="continuationSeparator" w:id="0">
    <w:p w:rsidR="005A79A4" w:rsidRDefault="005A79A4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0E" w:rsidRDefault="00753F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413F">
      <w:rPr>
        <w:noProof/>
      </w:rPr>
      <w:t>4</w:t>
    </w:r>
    <w:r>
      <w:rPr>
        <w:noProof/>
      </w:rPr>
      <w:fldChar w:fldCharType="end"/>
    </w:r>
  </w:p>
  <w:p w:rsidR="00753F0E" w:rsidRDefault="00753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9A4" w:rsidRDefault="005A79A4" w:rsidP="002E0529">
      <w:r>
        <w:separator/>
      </w:r>
    </w:p>
  </w:footnote>
  <w:footnote w:type="continuationSeparator" w:id="0">
    <w:p w:rsidR="005A79A4" w:rsidRDefault="005A79A4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E26215"/>
    <w:multiLevelType w:val="hybridMultilevel"/>
    <w:tmpl w:val="037026A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D93418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7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8"/>
  </w:num>
  <w:num w:numId="15">
    <w:abstractNumId w:val="2"/>
  </w:num>
  <w:num w:numId="16">
    <w:abstractNumId w:val="10"/>
  </w:num>
  <w:num w:numId="17">
    <w:abstractNumId w:val="20"/>
  </w:num>
  <w:num w:numId="18">
    <w:abstractNumId w:val="7"/>
  </w:num>
  <w:num w:numId="19">
    <w:abstractNumId w:val="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9"/>
    <w:rsid w:val="00000537"/>
    <w:rsid w:val="00001414"/>
    <w:rsid w:val="00006037"/>
    <w:rsid w:val="000065B0"/>
    <w:rsid w:val="000118D8"/>
    <w:rsid w:val="00013B4B"/>
    <w:rsid w:val="00021308"/>
    <w:rsid w:val="00024B94"/>
    <w:rsid w:val="000255AC"/>
    <w:rsid w:val="00027002"/>
    <w:rsid w:val="000272BF"/>
    <w:rsid w:val="000325BE"/>
    <w:rsid w:val="00032E54"/>
    <w:rsid w:val="00034E4B"/>
    <w:rsid w:val="00035A52"/>
    <w:rsid w:val="00036001"/>
    <w:rsid w:val="00036255"/>
    <w:rsid w:val="0004077A"/>
    <w:rsid w:val="00041678"/>
    <w:rsid w:val="000439E7"/>
    <w:rsid w:val="00043F74"/>
    <w:rsid w:val="000516DB"/>
    <w:rsid w:val="000522E6"/>
    <w:rsid w:val="00062C4F"/>
    <w:rsid w:val="000631D8"/>
    <w:rsid w:val="00067CA5"/>
    <w:rsid w:val="0007080E"/>
    <w:rsid w:val="00074C1C"/>
    <w:rsid w:val="00075184"/>
    <w:rsid w:val="00077185"/>
    <w:rsid w:val="00077FA7"/>
    <w:rsid w:val="00080831"/>
    <w:rsid w:val="00080D43"/>
    <w:rsid w:val="000845CE"/>
    <w:rsid w:val="00085140"/>
    <w:rsid w:val="00091EF3"/>
    <w:rsid w:val="0009358E"/>
    <w:rsid w:val="00094C89"/>
    <w:rsid w:val="00094E6D"/>
    <w:rsid w:val="000A0EF4"/>
    <w:rsid w:val="000A339D"/>
    <w:rsid w:val="000A3916"/>
    <w:rsid w:val="000A6AA9"/>
    <w:rsid w:val="000A7F77"/>
    <w:rsid w:val="000B2AA1"/>
    <w:rsid w:val="000B316E"/>
    <w:rsid w:val="000B3BF0"/>
    <w:rsid w:val="000B62D1"/>
    <w:rsid w:val="000C0C43"/>
    <w:rsid w:val="000C2701"/>
    <w:rsid w:val="000C3F5C"/>
    <w:rsid w:val="000C48AA"/>
    <w:rsid w:val="000C689D"/>
    <w:rsid w:val="000C6B80"/>
    <w:rsid w:val="000E26C1"/>
    <w:rsid w:val="000E4421"/>
    <w:rsid w:val="000E5773"/>
    <w:rsid w:val="000E7615"/>
    <w:rsid w:val="000F1C2B"/>
    <w:rsid w:val="000F2EE9"/>
    <w:rsid w:val="000F3BF5"/>
    <w:rsid w:val="000F5788"/>
    <w:rsid w:val="000F5F7E"/>
    <w:rsid w:val="000F6487"/>
    <w:rsid w:val="00105808"/>
    <w:rsid w:val="00107249"/>
    <w:rsid w:val="00107B7C"/>
    <w:rsid w:val="00110AB9"/>
    <w:rsid w:val="00111903"/>
    <w:rsid w:val="00112619"/>
    <w:rsid w:val="0011521E"/>
    <w:rsid w:val="0011777F"/>
    <w:rsid w:val="00122B23"/>
    <w:rsid w:val="001235EE"/>
    <w:rsid w:val="0012537E"/>
    <w:rsid w:val="00125B65"/>
    <w:rsid w:val="00131670"/>
    <w:rsid w:val="001331C0"/>
    <w:rsid w:val="001361D3"/>
    <w:rsid w:val="00136453"/>
    <w:rsid w:val="00136A79"/>
    <w:rsid w:val="00140538"/>
    <w:rsid w:val="00141037"/>
    <w:rsid w:val="00142F2A"/>
    <w:rsid w:val="00143D7F"/>
    <w:rsid w:val="0014537B"/>
    <w:rsid w:val="00150BB4"/>
    <w:rsid w:val="001512E0"/>
    <w:rsid w:val="00152750"/>
    <w:rsid w:val="00155099"/>
    <w:rsid w:val="00162634"/>
    <w:rsid w:val="00163017"/>
    <w:rsid w:val="00165DE7"/>
    <w:rsid w:val="001676E5"/>
    <w:rsid w:val="001738E8"/>
    <w:rsid w:val="0017637B"/>
    <w:rsid w:val="001809AA"/>
    <w:rsid w:val="001840F4"/>
    <w:rsid w:val="00185910"/>
    <w:rsid w:val="0018654D"/>
    <w:rsid w:val="0018668A"/>
    <w:rsid w:val="00186B52"/>
    <w:rsid w:val="00193DF3"/>
    <w:rsid w:val="001A2F52"/>
    <w:rsid w:val="001A38EA"/>
    <w:rsid w:val="001A4BB9"/>
    <w:rsid w:val="001A51A3"/>
    <w:rsid w:val="001A616E"/>
    <w:rsid w:val="001B0EBB"/>
    <w:rsid w:val="001B449F"/>
    <w:rsid w:val="001B557D"/>
    <w:rsid w:val="001B7917"/>
    <w:rsid w:val="001C3B08"/>
    <w:rsid w:val="001C5449"/>
    <w:rsid w:val="001C6BFA"/>
    <w:rsid w:val="001D0882"/>
    <w:rsid w:val="001D0C59"/>
    <w:rsid w:val="001D137E"/>
    <w:rsid w:val="001D317F"/>
    <w:rsid w:val="001D331E"/>
    <w:rsid w:val="001D4302"/>
    <w:rsid w:val="001D641F"/>
    <w:rsid w:val="001E0BC9"/>
    <w:rsid w:val="001E22E6"/>
    <w:rsid w:val="001E3C35"/>
    <w:rsid w:val="001E41DC"/>
    <w:rsid w:val="001E5A1E"/>
    <w:rsid w:val="001E636C"/>
    <w:rsid w:val="001E7D15"/>
    <w:rsid w:val="001F1859"/>
    <w:rsid w:val="001F1D0A"/>
    <w:rsid w:val="001F2168"/>
    <w:rsid w:val="001F3D1F"/>
    <w:rsid w:val="001F792E"/>
    <w:rsid w:val="002002C2"/>
    <w:rsid w:val="002018D4"/>
    <w:rsid w:val="00201900"/>
    <w:rsid w:val="00204B15"/>
    <w:rsid w:val="00205059"/>
    <w:rsid w:val="002067A9"/>
    <w:rsid w:val="0021120A"/>
    <w:rsid w:val="002113C3"/>
    <w:rsid w:val="00211B64"/>
    <w:rsid w:val="00212EB4"/>
    <w:rsid w:val="00212F27"/>
    <w:rsid w:val="00214F2B"/>
    <w:rsid w:val="00217BBC"/>
    <w:rsid w:val="00220660"/>
    <w:rsid w:val="00222775"/>
    <w:rsid w:val="00225179"/>
    <w:rsid w:val="0023251E"/>
    <w:rsid w:val="002331D3"/>
    <w:rsid w:val="0023436A"/>
    <w:rsid w:val="0023555F"/>
    <w:rsid w:val="002416F5"/>
    <w:rsid w:val="00243530"/>
    <w:rsid w:val="00247AB7"/>
    <w:rsid w:val="00255635"/>
    <w:rsid w:val="00256670"/>
    <w:rsid w:val="002576AA"/>
    <w:rsid w:val="0026056D"/>
    <w:rsid w:val="00260FD0"/>
    <w:rsid w:val="00267000"/>
    <w:rsid w:val="00267267"/>
    <w:rsid w:val="002702F5"/>
    <w:rsid w:val="00271D60"/>
    <w:rsid w:val="0027263F"/>
    <w:rsid w:val="002730D1"/>
    <w:rsid w:val="00274C9D"/>
    <w:rsid w:val="002803B4"/>
    <w:rsid w:val="002814F9"/>
    <w:rsid w:val="00281845"/>
    <w:rsid w:val="00281F8A"/>
    <w:rsid w:val="00282271"/>
    <w:rsid w:val="00282336"/>
    <w:rsid w:val="00283B0B"/>
    <w:rsid w:val="002869BD"/>
    <w:rsid w:val="002908A2"/>
    <w:rsid w:val="00291C51"/>
    <w:rsid w:val="0029385B"/>
    <w:rsid w:val="002A0074"/>
    <w:rsid w:val="002A0570"/>
    <w:rsid w:val="002A1EEA"/>
    <w:rsid w:val="002A7CBE"/>
    <w:rsid w:val="002B01B7"/>
    <w:rsid w:val="002B04C2"/>
    <w:rsid w:val="002B0958"/>
    <w:rsid w:val="002B33E4"/>
    <w:rsid w:val="002B7D54"/>
    <w:rsid w:val="002C0CDA"/>
    <w:rsid w:val="002C3822"/>
    <w:rsid w:val="002C405A"/>
    <w:rsid w:val="002D1282"/>
    <w:rsid w:val="002D1BFE"/>
    <w:rsid w:val="002D38B2"/>
    <w:rsid w:val="002D4F45"/>
    <w:rsid w:val="002D59C7"/>
    <w:rsid w:val="002D7219"/>
    <w:rsid w:val="002D7419"/>
    <w:rsid w:val="002E0529"/>
    <w:rsid w:val="002E3202"/>
    <w:rsid w:val="002E3727"/>
    <w:rsid w:val="002E594E"/>
    <w:rsid w:val="002F3A0F"/>
    <w:rsid w:val="002F58F1"/>
    <w:rsid w:val="0030034E"/>
    <w:rsid w:val="00300CB2"/>
    <w:rsid w:val="0030351F"/>
    <w:rsid w:val="00303898"/>
    <w:rsid w:val="003077BE"/>
    <w:rsid w:val="0031216A"/>
    <w:rsid w:val="0031267B"/>
    <w:rsid w:val="00313F52"/>
    <w:rsid w:val="00320880"/>
    <w:rsid w:val="00321D6B"/>
    <w:rsid w:val="00323DDB"/>
    <w:rsid w:val="00324C59"/>
    <w:rsid w:val="00325910"/>
    <w:rsid w:val="00327F67"/>
    <w:rsid w:val="00330DD5"/>
    <w:rsid w:val="00333516"/>
    <w:rsid w:val="00334025"/>
    <w:rsid w:val="0033561D"/>
    <w:rsid w:val="00335DBB"/>
    <w:rsid w:val="00340B96"/>
    <w:rsid w:val="00341314"/>
    <w:rsid w:val="003447E4"/>
    <w:rsid w:val="00347133"/>
    <w:rsid w:val="003505AB"/>
    <w:rsid w:val="003521D4"/>
    <w:rsid w:val="00353AFF"/>
    <w:rsid w:val="00353CAC"/>
    <w:rsid w:val="0035603C"/>
    <w:rsid w:val="00363C75"/>
    <w:rsid w:val="00363F26"/>
    <w:rsid w:val="00364B8F"/>
    <w:rsid w:val="0036578F"/>
    <w:rsid w:val="00366E77"/>
    <w:rsid w:val="003718B0"/>
    <w:rsid w:val="00375CF6"/>
    <w:rsid w:val="003760D8"/>
    <w:rsid w:val="003769FE"/>
    <w:rsid w:val="0038058C"/>
    <w:rsid w:val="0038084F"/>
    <w:rsid w:val="00380CFE"/>
    <w:rsid w:val="00382D46"/>
    <w:rsid w:val="00384137"/>
    <w:rsid w:val="00387B6B"/>
    <w:rsid w:val="00392103"/>
    <w:rsid w:val="003947FA"/>
    <w:rsid w:val="0039739E"/>
    <w:rsid w:val="003A05FB"/>
    <w:rsid w:val="003A1006"/>
    <w:rsid w:val="003A25A4"/>
    <w:rsid w:val="003A27DF"/>
    <w:rsid w:val="003A36DD"/>
    <w:rsid w:val="003A4754"/>
    <w:rsid w:val="003A6BC6"/>
    <w:rsid w:val="003B4976"/>
    <w:rsid w:val="003B569D"/>
    <w:rsid w:val="003B5A9A"/>
    <w:rsid w:val="003B79EE"/>
    <w:rsid w:val="003B7AD7"/>
    <w:rsid w:val="003C07E8"/>
    <w:rsid w:val="003C0B9D"/>
    <w:rsid w:val="003C6776"/>
    <w:rsid w:val="003C734E"/>
    <w:rsid w:val="003D0217"/>
    <w:rsid w:val="003D16A6"/>
    <w:rsid w:val="003D2A32"/>
    <w:rsid w:val="003D4650"/>
    <w:rsid w:val="003D4FBC"/>
    <w:rsid w:val="003D5F18"/>
    <w:rsid w:val="003D7EB4"/>
    <w:rsid w:val="003D7F35"/>
    <w:rsid w:val="003E216B"/>
    <w:rsid w:val="003E3D51"/>
    <w:rsid w:val="003F1239"/>
    <w:rsid w:val="003F6790"/>
    <w:rsid w:val="003F7B23"/>
    <w:rsid w:val="00400E50"/>
    <w:rsid w:val="00402370"/>
    <w:rsid w:val="00402587"/>
    <w:rsid w:val="004050BE"/>
    <w:rsid w:val="00405B8E"/>
    <w:rsid w:val="00405E47"/>
    <w:rsid w:val="004068E4"/>
    <w:rsid w:val="00406A61"/>
    <w:rsid w:val="00411FEC"/>
    <w:rsid w:val="00416AC9"/>
    <w:rsid w:val="004179FE"/>
    <w:rsid w:val="00417AA2"/>
    <w:rsid w:val="004212EB"/>
    <w:rsid w:val="00422589"/>
    <w:rsid w:val="0042396C"/>
    <w:rsid w:val="00423982"/>
    <w:rsid w:val="004252D0"/>
    <w:rsid w:val="00432D6A"/>
    <w:rsid w:val="00443634"/>
    <w:rsid w:val="00443DAE"/>
    <w:rsid w:val="004442E3"/>
    <w:rsid w:val="00446EBB"/>
    <w:rsid w:val="004470D4"/>
    <w:rsid w:val="00454B80"/>
    <w:rsid w:val="0045544E"/>
    <w:rsid w:val="0045567A"/>
    <w:rsid w:val="0045732B"/>
    <w:rsid w:val="004649A4"/>
    <w:rsid w:val="00467497"/>
    <w:rsid w:val="004718F5"/>
    <w:rsid w:val="004747AF"/>
    <w:rsid w:val="0047494E"/>
    <w:rsid w:val="00477312"/>
    <w:rsid w:val="00481292"/>
    <w:rsid w:val="00485F50"/>
    <w:rsid w:val="0048704B"/>
    <w:rsid w:val="004900EB"/>
    <w:rsid w:val="004908DD"/>
    <w:rsid w:val="004912F3"/>
    <w:rsid w:val="004914E2"/>
    <w:rsid w:val="00492890"/>
    <w:rsid w:val="0049331E"/>
    <w:rsid w:val="00496798"/>
    <w:rsid w:val="0049709D"/>
    <w:rsid w:val="00497630"/>
    <w:rsid w:val="004A09A3"/>
    <w:rsid w:val="004A1138"/>
    <w:rsid w:val="004A5087"/>
    <w:rsid w:val="004A7BBC"/>
    <w:rsid w:val="004A7ECD"/>
    <w:rsid w:val="004B05AF"/>
    <w:rsid w:val="004B2F8D"/>
    <w:rsid w:val="004B3F4E"/>
    <w:rsid w:val="004B4123"/>
    <w:rsid w:val="004B4AB4"/>
    <w:rsid w:val="004B726A"/>
    <w:rsid w:val="004B79B3"/>
    <w:rsid w:val="004B7C45"/>
    <w:rsid w:val="004C3F4F"/>
    <w:rsid w:val="004C4348"/>
    <w:rsid w:val="004D08EB"/>
    <w:rsid w:val="004D2DB4"/>
    <w:rsid w:val="004D4495"/>
    <w:rsid w:val="004E0465"/>
    <w:rsid w:val="004E11E5"/>
    <w:rsid w:val="004E3BB2"/>
    <w:rsid w:val="004E455F"/>
    <w:rsid w:val="004E5831"/>
    <w:rsid w:val="004E66B5"/>
    <w:rsid w:val="004F34BD"/>
    <w:rsid w:val="004F376A"/>
    <w:rsid w:val="0050373A"/>
    <w:rsid w:val="005042F9"/>
    <w:rsid w:val="005049C1"/>
    <w:rsid w:val="0050630F"/>
    <w:rsid w:val="0051109D"/>
    <w:rsid w:val="00511C12"/>
    <w:rsid w:val="0051368D"/>
    <w:rsid w:val="00516488"/>
    <w:rsid w:val="00516E63"/>
    <w:rsid w:val="0051794F"/>
    <w:rsid w:val="00520D75"/>
    <w:rsid w:val="00521FDC"/>
    <w:rsid w:val="00525246"/>
    <w:rsid w:val="00525AAF"/>
    <w:rsid w:val="005261CE"/>
    <w:rsid w:val="0052683F"/>
    <w:rsid w:val="0053076F"/>
    <w:rsid w:val="00531D8A"/>
    <w:rsid w:val="0053400F"/>
    <w:rsid w:val="005445EA"/>
    <w:rsid w:val="00547D90"/>
    <w:rsid w:val="005503D4"/>
    <w:rsid w:val="005504EA"/>
    <w:rsid w:val="00553DC7"/>
    <w:rsid w:val="00554859"/>
    <w:rsid w:val="00554C77"/>
    <w:rsid w:val="005563D8"/>
    <w:rsid w:val="0055648D"/>
    <w:rsid w:val="00557241"/>
    <w:rsid w:val="00557CCB"/>
    <w:rsid w:val="00560BF9"/>
    <w:rsid w:val="0056161E"/>
    <w:rsid w:val="00561C72"/>
    <w:rsid w:val="00563885"/>
    <w:rsid w:val="00567002"/>
    <w:rsid w:val="005701A8"/>
    <w:rsid w:val="00574631"/>
    <w:rsid w:val="00576460"/>
    <w:rsid w:val="00577F96"/>
    <w:rsid w:val="005806DB"/>
    <w:rsid w:val="005825BE"/>
    <w:rsid w:val="00586CE9"/>
    <w:rsid w:val="00591357"/>
    <w:rsid w:val="00591434"/>
    <w:rsid w:val="00593383"/>
    <w:rsid w:val="00595660"/>
    <w:rsid w:val="005963C9"/>
    <w:rsid w:val="005973E9"/>
    <w:rsid w:val="005A13F2"/>
    <w:rsid w:val="005A30E6"/>
    <w:rsid w:val="005A54B0"/>
    <w:rsid w:val="005A67AB"/>
    <w:rsid w:val="005A79A4"/>
    <w:rsid w:val="005B24D0"/>
    <w:rsid w:val="005B29E1"/>
    <w:rsid w:val="005B2F7D"/>
    <w:rsid w:val="005B31C4"/>
    <w:rsid w:val="005B4B7D"/>
    <w:rsid w:val="005B7F39"/>
    <w:rsid w:val="005C0A38"/>
    <w:rsid w:val="005C1963"/>
    <w:rsid w:val="005C1B2A"/>
    <w:rsid w:val="005C3C53"/>
    <w:rsid w:val="005C6AC4"/>
    <w:rsid w:val="005C707E"/>
    <w:rsid w:val="005C70B7"/>
    <w:rsid w:val="005D15FF"/>
    <w:rsid w:val="005D24F5"/>
    <w:rsid w:val="005D2DD4"/>
    <w:rsid w:val="005D3B9E"/>
    <w:rsid w:val="005D708A"/>
    <w:rsid w:val="005D7B25"/>
    <w:rsid w:val="005E0B70"/>
    <w:rsid w:val="005E320C"/>
    <w:rsid w:val="005E4D77"/>
    <w:rsid w:val="005E4EF6"/>
    <w:rsid w:val="005E5553"/>
    <w:rsid w:val="005F2081"/>
    <w:rsid w:val="005F37F9"/>
    <w:rsid w:val="005F558A"/>
    <w:rsid w:val="005F6DB3"/>
    <w:rsid w:val="00602AE9"/>
    <w:rsid w:val="00603BE4"/>
    <w:rsid w:val="0060448A"/>
    <w:rsid w:val="00604A18"/>
    <w:rsid w:val="00606735"/>
    <w:rsid w:val="006150FF"/>
    <w:rsid w:val="00616D0C"/>
    <w:rsid w:val="00617237"/>
    <w:rsid w:val="006174FA"/>
    <w:rsid w:val="006215A8"/>
    <w:rsid w:val="0062283E"/>
    <w:rsid w:val="00623DAE"/>
    <w:rsid w:val="00624061"/>
    <w:rsid w:val="00627759"/>
    <w:rsid w:val="006319B2"/>
    <w:rsid w:val="006338F0"/>
    <w:rsid w:val="00633F33"/>
    <w:rsid w:val="00634681"/>
    <w:rsid w:val="00634710"/>
    <w:rsid w:val="006353E5"/>
    <w:rsid w:val="006402A3"/>
    <w:rsid w:val="006404ED"/>
    <w:rsid w:val="006427A8"/>
    <w:rsid w:val="00650AEF"/>
    <w:rsid w:val="00651E05"/>
    <w:rsid w:val="0065224B"/>
    <w:rsid w:val="006528A1"/>
    <w:rsid w:val="006535EA"/>
    <w:rsid w:val="006563E0"/>
    <w:rsid w:val="006572E0"/>
    <w:rsid w:val="00657550"/>
    <w:rsid w:val="006577AA"/>
    <w:rsid w:val="00662A45"/>
    <w:rsid w:val="00662E25"/>
    <w:rsid w:val="00663E97"/>
    <w:rsid w:val="006642B0"/>
    <w:rsid w:val="006647C2"/>
    <w:rsid w:val="00665CE8"/>
    <w:rsid w:val="00670584"/>
    <w:rsid w:val="00674777"/>
    <w:rsid w:val="00676EA6"/>
    <w:rsid w:val="0067700F"/>
    <w:rsid w:val="006819B2"/>
    <w:rsid w:val="00684135"/>
    <w:rsid w:val="00687D6B"/>
    <w:rsid w:val="00693114"/>
    <w:rsid w:val="00696C3F"/>
    <w:rsid w:val="00696D75"/>
    <w:rsid w:val="006A003D"/>
    <w:rsid w:val="006A0F34"/>
    <w:rsid w:val="006A2BD3"/>
    <w:rsid w:val="006A4781"/>
    <w:rsid w:val="006B38F8"/>
    <w:rsid w:val="006B39E2"/>
    <w:rsid w:val="006B4E4E"/>
    <w:rsid w:val="006B640C"/>
    <w:rsid w:val="006B7E33"/>
    <w:rsid w:val="006C0E75"/>
    <w:rsid w:val="006C385F"/>
    <w:rsid w:val="006C6474"/>
    <w:rsid w:val="006C7B43"/>
    <w:rsid w:val="006D13D0"/>
    <w:rsid w:val="006D2F85"/>
    <w:rsid w:val="006D48AA"/>
    <w:rsid w:val="006D7F7C"/>
    <w:rsid w:val="006E0033"/>
    <w:rsid w:val="006E07C6"/>
    <w:rsid w:val="006E1367"/>
    <w:rsid w:val="006E5418"/>
    <w:rsid w:val="006E5C4D"/>
    <w:rsid w:val="006F44EA"/>
    <w:rsid w:val="006F56F1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1766E"/>
    <w:rsid w:val="0072022D"/>
    <w:rsid w:val="00721A41"/>
    <w:rsid w:val="0072358E"/>
    <w:rsid w:val="0072465E"/>
    <w:rsid w:val="00726BF2"/>
    <w:rsid w:val="00727540"/>
    <w:rsid w:val="00732934"/>
    <w:rsid w:val="00732C19"/>
    <w:rsid w:val="00734D0F"/>
    <w:rsid w:val="00737682"/>
    <w:rsid w:val="007422CA"/>
    <w:rsid w:val="0074413F"/>
    <w:rsid w:val="0074566F"/>
    <w:rsid w:val="007479E7"/>
    <w:rsid w:val="00747C49"/>
    <w:rsid w:val="00750A82"/>
    <w:rsid w:val="00751001"/>
    <w:rsid w:val="007528AC"/>
    <w:rsid w:val="00752A4D"/>
    <w:rsid w:val="00753F0E"/>
    <w:rsid w:val="007579D9"/>
    <w:rsid w:val="0076123E"/>
    <w:rsid w:val="00763E4B"/>
    <w:rsid w:val="00763F21"/>
    <w:rsid w:val="00766CCD"/>
    <w:rsid w:val="00770F90"/>
    <w:rsid w:val="00772A75"/>
    <w:rsid w:val="007740CF"/>
    <w:rsid w:val="007767D3"/>
    <w:rsid w:val="007767E0"/>
    <w:rsid w:val="00781A94"/>
    <w:rsid w:val="00787977"/>
    <w:rsid w:val="00793946"/>
    <w:rsid w:val="007A02F9"/>
    <w:rsid w:val="007A482D"/>
    <w:rsid w:val="007A4EEE"/>
    <w:rsid w:val="007A72AB"/>
    <w:rsid w:val="007A74AC"/>
    <w:rsid w:val="007B222B"/>
    <w:rsid w:val="007B3CC7"/>
    <w:rsid w:val="007B63F0"/>
    <w:rsid w:val="007B6886"/>
    <w:rsid w:val="007C07C1"/>
    <w:rsid w:val="007C1291"/>
    <w:rsid w:val="007C2A18"/>
    <w:rsid w:val="007C3313"/>
    <w:rsid w:val="007C4BEA"/>
    <w:rsid w:val="007C4EED"/>
    <w:rsid w:val="007C6585"/>
    <w:rsid w:val="007C7951"/>
    <w:rsid w:val="007D1288"/>
    <w:rsid w:val="007D4A23"/>
    <w:rsid w:val="007E74BC"/>
    <w:rsid w:val="007F0313"/>
    <w:rsid w:val="007F1884"/>
    <w:rsid w:val="007F1CF8"/>
    <w:rsid w:val="007F412E"/>
    <w:rsid w:val="007F7B7D"/>
    <w:rsid w:val="008071A2"/>
    <w:rsid w:val="00811E8F"/>
    <w:rsid w:val="0081317A"/>
    <w:rsid w:val="0081528E"/>
    <w:rsid w:val="008166D1"/>
    <w:rsid w:val="00817669"/>
    <w:rsid w:val="0082104C"/>
    <w:rsid w:val="00821C80"/>
    <w:rsid w:val="0082520E"/>
    <w:rsid w:val="0082628B"/>
    <w:rsid w:val="008265C8"/>
    <w:rsid w:val="00830919"/>
    <w:rsid w:val="00833070"/>
    <w:rsid w:val="00833D06"/>
    <w:rsid w:val="0083756A"/>
    <w:rsid w:val="008378E5"/>
    <w:rsid w:val="00837B8D"/>
    <w:rsid w:val="008432BA"/>
    <w:rsid w:val="008445FE"/>
    <w:rsid w:val="00847AA7"/>
    <w:rsid w:val="00852A70"/>
    <w:rsid w:val="00853B84"/>
    <w:rsid w:val="00854C02"/>
    <w:rsid w:val="00856059"/>
    <w:rsid w:val="00856228"/>
    <w:rsid w:val="00860E05"/>
    <w:rsid w:val="0086637B"/>
    <w:rsid w:val="00866976"/>
    <w:rsid w:val="00867D56"/>
    <w:rsid w:val="008708B1"/>
    <w:rsid w:val="008715E0"/>
    <w:rsid w:val="0087355F"/>
    <w:rsid w:val="00873CF0"/>
    <w:rsid w:val="00874ABD"/>
    <w:rsid w:val="00876736"/>
    <w:rsid w:val="0088028F"/>
    <w:rsid w:val="00881AAA"/>
    <w:rsid w:val="00881DE8"/>
    <w:rsid w:val="00883360"/>
    <w:rsid w:val="00883966"/>
    <w:rsid w:val="00885447"/>
    <w:rsid w:val="008857C3"/>
    <w:rsid w:val="00887F3C"/>
    <w:rsid w:val="0089026E"/>
    <w:rsid w:val="00892B17"/>
    <w:rsid w:val="00896B69"/>
    <w:rsid w:val="008975C6"/>
    <w:rsid w:val="008A19E4"/>
    <w:rsid w:val="008A2E70"/>
    <w:rsid w:val="008A3CD9"/>
    <w:rsid w:val="008A5E3A"/>
    <w:rsid w:val="008A689D"/>
    <w:rsid w:val="008A70B2"/>
    <w:rsid w:val="008B0EF6"/>
    <w:rsid w:val="008B15F7"/>
    <w:rsid w:val="008B3E44"/>
    <w:rsid w:val="008B4839"/>
    <w:rsid w:val="008C5182"/>
    <w:rsid w:val="008C5543"/>
    <w:rsid w:val="008C65FA"/>
    <w:rsid w:val="008C71E3"/>
    <w:rsid w:val="008D0195"/>
    <w:rsid w:val="008D343B"/>
    <w:rsid w:val="008D5435"/>
    <w:rsid w:val="008D718C"/>
    <w:rsid w:val="008D7F9D"/>
    <w:rsid w:val="008E1493"/>
    <w:rsid w:val="008E1B5C"/>
    <w:rsid w:val="008E44AA"/>
    <w:rsid w:val="008E4717"/>
    <w:rsid w:val="008E7CA6"/>
    <w:rsid w:val="008F7850"/>
    <w:rsid w:val="00901376"/>
    <w:rsid w:val="00901B53"/>
    <w:rsid w:val="00904071"/>
    <w:rsid w:val="009066F4"/>
    <w:rsid w:val="00912B46"/>
    <w:rsid w:val="00916A7D"/>
    <w:rsid w:val="00917E16"/>
    <w:rsid w:val="009209EE"/>
    <w:rsid w:val="00927A40"/>
    <w:rsid w:val="009333A7"/>
    <w:rsid w:val="00937823"/>
    <w:rsid w:val="00942E61"/>
    <w:rsid w:val="00944D32"/>
    <w:rsid w:val="00946034"/>
    <w:rsid w:val="00947202"/>
    <w:rsid w:val="00947EA3"/>
    <w:rsid w:val="00950D04"/>
    <w:rsid w:val="009531F0"/>
    <w:rsid w:val="0095671B"/>
    <w:rsid w:val="009574A4"/>
    <w:rsid w:val="009612BE"/>
    <w:rsid w:val="00964E38"/>
    <w:rsid w:val="009669B9"/>
    <w:rsid w:val="00967D9C"/>
    <w:rsid w:val="00971D49"/>
    <w:rsid w:val="00977EC0"/>
    <w:rsid w:val="009820E0"/>
    <w:rsid w:val="0098426C"/>
    <w:rsid w:val="00984415"/>
    <w:rsid w:val="009909C7"/>
    <w:rsid w:val="0099212B"/>
    <w:rsid w:val="009931DA"/>
    <w:rsid w:val="009979EC"/>
    <w:rsid w:val="009A00DD"/>
    <w:rsid w:val="009A0B92"/>
    <w:rsid w:val="009A3C3D"/>
    <w:rsid w:val="009A532E"/>
    <w:rsid w:val="009B1480"/>
    <w:rsid w:val="009B17C9"/>
    <w:rsid w:val="009B44E7"/>
    <w:rsid w:val="009B4F5B"/>
    <w:rsid w:val="009B5A5E"/>
    <w:rsid w:val="009B5F7A"/>
    <w:rsid w:val="009B738E"/>
    <w:rsid w:val="009B7EBC"/>
    <w:rsid w:val="009C3354"/>
    <w:rsid w:val="009C3AA8"/>
    <w:rsid w:val="009C4D14"/>
    <w:rsid w:val="009C596A"/>
    <w:rsid w:val="009C5CF8"/>
    <w:rsid w:val="009C73B9"/>
    <w:rsid w:val="009D10F2"/>
    <w:rsid w:val="009D132B"/>
    <w:rsid w:val="009D362D"/>
    <w:rsid w:val="009E05C9"/>
    <w:rsid w:val="009E09FA"/>
    <w:rsid w:val="009E2783"/>
    <w:rsid w:val="009E2CB1"/>
    <w:rsid w:val="009E3DED"/>
    <w:rsid w:val="009E4CAC"/>
    <w:rsid w:val="009E6684"/>
    <w:rsid w:val="009F06BC"/>
    <w:rsid w:val="009F1CF4"/>
    <w:rsid w:val="009F22FB"/>
    <w:rsid w:val="009F24EF"/>
    <w:rsid w:val="009F3D8C"/>
    <w:rsid w:val="009F46E2"/>
    <w:rsid w:val="009F6357"/>
    <w:rsid w:val="00A00196"/>
    <w:rsid w:val="00A00B22"/>
    <w:rsid w:val="00A01CDF"/>
    <w:rsid w:val="00A01EDE"/>
    <w:rsid w:val="00A02E1E"/>
    <w:rsid w:val="00A030BE"/>
    <w:rsid w:val="00A03B2B"/>
    <w:rsid w:val="00A04A12"/>
    <w:rsid w:val="00A05346"/>
    <w:rsid w:val="00A07AB3"/>
    <w:rsid w:val="00A1142C"/>
    <w:rsid w:val="00A13C3F"/>
    <w:rsid w:val="00A14B9F"/>
    <w:rsid w:val="00A2546C"/>
    <w:rsid w:val="00A25922"/>
    <w:rsid w:val="00A25CFB"/>
    <w:rsid w:val="00A26AF3"/>
    <w:rsid w:val="00A3059C"/>
    <w:rsid w:val="00A30FE9"/>
    <w:rsid w:val="00A31320"/>
    <w:rsid w:val="00A34792"/>
    <w:rsid w:val="00A35E84"/>
    <w:rsid w:val="00A423C4"/>
    <w:rsid w:val="00A44FD0"/>
    <w:rsid w:val="00A459C2"/>
    <w:rsid w:val="00A46971"/>
    <w:rsid w:val="00A46D37"/>
    <w:rsid w:val="00A517DD"/>
    <w:rsid w:val="00A518F9"/>
    <w:rsid w:val="00A520B5"/>
    <w:rsid w:val="00A54AA7"/>
    <w:rsid w:val="00A55687"/>
    <w:rsid w:val="00A56CAC"/>
    <w:rsid w:val="00A57DA6"/>
    <w:rsid w:val="00A60D5B"/>
    <w:rsid w:val="00A6582C"/>
    <w:rsid w:val="00A67840"/>
    <w:rsid w:val="00A67E67"/>
    <w:rsid w:val="00A730C5"/>
    <w:rsid w:val="00A7452E"/>
    <w:rsid w:val="00A74774"/>
    <w:rsid w:val="00A7484E"/>
    <w:rsid w:val="00A772E5"/>
    <w:rsid w:val="00A81376"/>
    <w:rsid w:val="00A8404A"/>
    <w:rsid w:val="00A93641"/>
    <w:rsid w:val="00AA334E"/>
    <w:rsid w:val="00AA3775"/>
    <w:rsid w:val="00AA3A08"/>
    <w:rsid w:val="00AA4AD2"/>
    <w:rsid w:val="00AB0806"/>
    <w:rsid w:val="00AB6876"/>
    <w:rsid w:val="00AB6A57"/>
    <w:rsid w:val="00AB70FC"/>
    <w:rsid w:val="00AC0C6B"/>
    <w:rsid w:val="00AC1141"/>
    <w:rsid w:val="00AC123C"/>
    <w:rsid w:val="00AC559B"/>
    <w:rsid w:val="00AD145A"/>
    <w:rsid w:val="00AD1983"/>
    <w:rsid w:val="00AD52D9"/>
    <w:rsid w:val="00AD6996"/>
    <w:rsid w:val="00AE1A62"/>
    <w:rsid w:val="00AE20F4"/>
    <w:rsid w:val="00AE30B3"/>
    <w:rsid w:val="00AE379F"/>
    <w:rsid w:val="00AE38DE"/>
    <w:rsid w:val="00AE4E7D"/>
    <w:rsid w:val="00AE6C50"/>
    <w:rsid w:val="00AF7CE9"/>
    <w:rsid w:val="00B00003"/>
    <w:rsid w:val="00B00136"/>
    <w:rsid w:val="00B0189E"/>
    <w:rsid w:val="00B046F9"/>
    <w:rsid w:val="00B0666F"/>
    <w:rsid w:val="00B07293"/>
    <w:rsid w:val="00B10C75"/>
    <w:rsid w:val="00B11FF0"/>
    <w:rsid w:val="00B1271A"/>
    <w:rsid w:val="00B13103"/>
    <w:rsid w:val="00B16446"/>
    <w:rsid w:val="00B17209"/>
    <w:rsid w:val="00B23910"/>
    <w:rsid w:val="00B27EDF"/>
    <w:rsid w:val="00B32897"/>
    <w:rsid w:val="00B40B03"/>
    <w:rsid w:val="00B43563"/>
    <w:rsid w:val="00B43717"/>
    <w:rsid w:val="00B44C1A"/>
    <w:rsid w:val="00B46FF9"/>
    <w:rsid w:val="00B5012E"/>
    <w:rsid w:val="00B50EA8"/>
    <w:rsid w:val="00B51851"/>
    <w:rsid w:val="00B5196F"/>
    <w:rsid w:val="00B5204C"/>
    <w:rsid w:val="00B56846"/>
    <w:rsid w:val="00B57C1C"/>
    <w:rsid w:val="00B6018A"/>
    <w:rsid w:val="00B63F9E"/>
    <w:rsid w:val="00B73DB7"/>
    <w:rsid w:val="00B778AF"/>
    <w:rsid w:val="00B87D77"/>
    <w:rsid w:val="00B95D07"/>
    <w:rsid w:val="00B96E95"/>
    <w:rsid w:val="00BA1483"/>
    <w:rsid w:val="00BA50E8"/>
    <w:rsid w:val="00BB08FE"/>
    <w:rsid w:val="00BB3D11"/>
    <w:rsid w:val="00BB44AF"/>
    <w:rsid w:val="00BB4AE3"/>
    <w:rsid w:val="00BB6CAD"/>
    <w:rsid w:val="00BB7B35"/>
    <w:rsid w:val="00BC1103"/>
    <w:rsid w:val="00BD15F8"/>
    <w:rsid w:val="00BD26B6"/>
    <w:rsid w:val="00BD34CF"/>
    <w:rsid w:val="00BD4374"/>
    <w:rsid w:val="00BD4E10"/>
    <w:rsid w:val="00BE017D"/>
    <w:rsid w:val="00BE2AAE"/>
    <w:rsid w:val="00BE4CC6"/>
    <w:rsid w:val="00BE509B"/>
    <w:rsid w:val="00BE6089"/>
    <w:rsid w:val="00BE6EF6"/>
    <w:rsid w:val="00BF0BEE"/>
    <w:rsid w:val="00BF12CD"/>
    <w:rsid w:val="00BF1D75"/>
    <w:rsid w:val="00BF29A3"/>
    <w:rsid w:val="00BF7E68"/>
    <w:rsid w:val="00C00FF2"/>
    <w:rsid w:val="00C01429"/>
    <w:rsid w:val="00C01773"/>
    <w:rsid w:val="00C01F58"/>
    <w:rsid w:val="00C04351"/>
    <w:rsid w:val="00C054F3"/>
    <w:rsid w:val="00C11A02"/>
    <w:rsid w:val="00C1228B"/>
    <w:rsid w:val="00C14B77"/>
    <w:rsid w:val="00C151F8"/>
    <w:rsid w:val="00C200B3"/>
    <w:rsid w:val="00C214F6"/>
    <w:rsid w:val="00C22960"/>
    <w:rsid w:val="00C24F6E"/>
    <w:rsid w:val="00C25E3A"/>
    <w:rsid w:val="00C315E8"/>
    <w:rsid w:val="00C32F96"/>
    <w:rsid w:val="00C33DF4"/>
    <w:rsid w:val="00C3734F"/>
    <w:rsid w:val="00C4098F"/>
    <w:rsid w:val="00C453A2"/>
    <w:rsid w:val="00C45985"/>
    <w:rsid w:val="00C47AE8"/>
    <w:rsid w:val="00C51E15"/>
    <w:rsid w:val="00C602E9"/>
    <w:rsid w:val="00C60A5F"/>
    <w:rsid w:val="00C618E9"/>
    <w:rsid w:val="00C63DB0"/>
    <w:rsid w:val="00C71C5D"/>
    <w:rsid w:val="00C722DE"/>
    <w:rsid w:val="00C72373"/>
    <w:rsid w:val="00C72A8D"/>
    <w:rsid w:val="00C76FF0"/>
    <w:rsid w:val="00C77C94"/>
    <w:rsid w:val="00C80A93"/>
    <w:rsid w:val="00C83113"/>
    <w:rsid w:val="00C83BA8"/>
    <w:rsid w:val="00C84E9F"/>
    <w:rsid w:val="00C86A2A"/>
    <w:rsid w:val="00C93A85"/>
    <w:rsid w:val="00C96869"/>
    <w:rsid w:val="00C97245"/>
    <w:rsid w:val="00CA46BC"/>
    <w:rsid w:val="00CA478D"/>
    <w:rsid w:val="00CA4AA3"/>
    <w:rsid w:val="00CB2E6C"/>
    <w:rsid w:val="00CB5C7C"/>
    <w:rsid w:val="00CB6EC1"/>
    <w:rsid w:val="00CB7411"/>
    <w:rsid w:val="00CB7B4F"/>
    <w:rsid w:val="00CC2BD6"/>
    <w:rsid w:val="00CC4D6F"/>
    <w:rsid w:val="00CC7094"/>
    <w:rsid w:val="00CD1EDB"/>
    <w:rsid w:val="00CD3164"/>
    <w:rsid w:val="00CD73ED"/>
    <w:rsid w:val="00CE3271"/>
    <w:rsid w:val="00CE3D52"/>
    <w:rsid w:val="00CE4844"/>
    <w:rsid w:val="00CE4CA7"/>
    <w:rsid w:val="00CE4D31"/>
    <w:rsid w:val="00CF2003"/>
    <w:rsid w:val="00CF28E6"/>
    <w:rsid w:val="00CF57AC"/>
    <w:rsid w:val="00CF5FDD"/>
    <w:rsid w:val="00CF6FB6"/>
    <w:rsid w:val="00CF7431"/>
    <w:rsid w:val="00D0009A"/>
    <w:rsid w:val="00D01BBA"/>
    <w:rsid w:val="00D2019E"/>
    <w:rsid w:val="00D256D3"/>
    <w:rsid w:val="00D26172"/>
    <w:rsid w:val="00D31DA0"/>
    <w:rsid w:val="00D31DCE"/>
    <w:rsid w:val="00D336FE"/>
    <w:rsid w:val="00D34CD1"/>
    <w:rsid w:val="00D350A5"/>
    <w:rsid w:val="00D351A3"/>
    <w:rsid w:val="00D357BE"/>
    <w:rsid w:val="00D416D3"/>
    <w:rsid w:val="00D45B83"/>
    <w:rsid w:val="00D5192A"/>
    <w:rsid w:val="00D52F6D"/>
    <w:rsid w:val="00D572F9"/>
    <w:rsid w:val="00D614E8"/>
    <w:rsid w:val="00D76917"/>
    <w:rsid w:val="00D82768"/>
    <w:rsid w:val="00D84FE4"/>
    <w:rsid w:val="00D855CE"/>
    <w:rsid w:val="00D872CA"/>
    <w:rsid w:val="00D91043"/>
    <w:rsid w:val="00D911DC"/>
    <w:rsid w:val="00D91593"/>
    <w:rsid w:val="00D91ADB"/>
    <w:rsid w:val="00D93785"/>
    <w:rsid w:val="00D967BA"/>
    <w:rsid w:val="00D97BF6"/>
    <w:rsid w:val="00DA00EC"/>
    <w:rsid w:val="00DA46FC"/>
    <w:rsid w:val="00DA49C8"/>
    <w:rsid w:val="00DB0F83"/>
    <w:rsid w:val="00DB133C"/>
    <w:rsid w:val="00DB266C"/>
    <w:rsid w:val="00DB283E"/>
    <w:rsid w:val="00DB6455"/>
    <w:rsid w:val="00DB73D2"/>
    <w:rsid w:val="00DC3293"/>
    <w:rsid w:val="00DC566E"/>
    <w:rsid w:val="00DC76A0"/>
    <w:rsid w:val="00DD1148"/>
    <w:rsid w:val="00DD5B1E"/>
    <w:rsid w:val="00DD5B6F"/>
    <w:rsid w:val="00DD5C58"/>
    <w:rsid w:val="00DD795E"/>
    <w:rsid w:val="00DD7DFF"/>
    <w:rsid w:val="00DE129B"/>
    <w:rsid w:val="00DE17C1"/>
    <w:rsid w:val="00DE37DD"/>
    <w:rsid w:val="00DE41B2"/>
    <w:rsid w:val="00DE4F25"/>
    <w:rsid w:val="00DE704E"/>
    <w:rsid w:val="00DE78E6"/>
    <w:rsid w:val="00DE7F96"/>
    <w:rsid w:val="00DF1AAC"/>
    <w:rsid w:val="00DF342D"/>
    <w:rsid w:val="00DF5580"/>
    <w:rsid w:val="00DF7F01"/>
    <w:rsid w:val="00E00D93"/>
    <w:rsid w:val="00E04F35"/>
    <w:rsid w:val="00E063A5"/>
    <w:rsid w:val="00E07C83"/>
    <w:rsid w:val="00E1108D"/>
    <w:rsid w:val="00E12584"/>
    <w:rsid w:val="00E12AC4"/>
    <w:rsid w:val="00E12AE4"/>
    <w:rsid w:val="00E132F3"/>
    <w:rsid w:val="00E13345"/>
    <w:rsid w:val="00E1442B"/>
    <w:rsid w:val="00E16925"/>
    <w:rsid w:val="00E16EBC"/>
    <w:rsid w:val="00E17688"/>
    <w:rsid w:val="00E23333"/>
    <w:rsid w:val="00E24955"/>
    <w:rsid w:val="00E30AF9"/>
    <w:rsid w:val="00E336EF"/>
    <w:rsid w:val="00E358FB"/>
    <w:rsid w:val="00E36CCE"/>
    <w:rsid w:val="00E42F1A"/>
    <w:rsid w:val="00E4348A"/>
    <w:rsid w:val="00E43DC4"/>
    <w:rsid w:val="00E44133"/>
    <w:rsid w:val="00E502C0"/>
    <w:rsid w:val="00E606CB"/>
    <w:rsid w:val="00E6113E"/>
    <w:rsid w:val="00E6193C"/>
    <w:rsid w:val="00E625E8"/>
    <w:rsid w:val="00E63060"/>
    <w:rsid w:val="00E65E19"/>
    <w:rsid w:val="00E66947"/>
    <w:rsid w:val="00E67F47"/>
    <w:rsid w:val="00E724F5"/>
    <w:rsid w:val="00E733DF"/>
    <w:rsid w:val="00E73424"/>
    <w:rsid w:val="00E74528"/>
    <w:rsid w:val="00E75D4C"/>
    <w:rsid w:val="00E765C5"/>
    <w:rsid w:val="00E80042"/>
    <w:rsid w:val="00E841C5"/>
    <w:rsid w:val="00E8644E"/>
    <w:rsid w:val="00E86DB2"/>
    <w:rsid w:val="00E87821"/>
    <w:rsid w:val="00E91EF5"/>
    <w:rsid w:val="00E95C86"/>
    <w:rsid w:val="00E960A7"/>
    <w:rsid w:val="00E96D76"/>
    <w:rsid w:val="00E9789D"/>
    <w:rsid w:val="00EA03A2"/>
    <w:rsid w:val="00EA1241"/>
    <w:rsid w:val="00EA1A63"/>
    <w:rsid w:val="00EA2E0F"/>
    <w:rsid w:val="00EA4E61"/>
    <w:rsid w:val="00EA4FA1"/>
    <w:rsid w:val="00EB0389"/>
    <w:rsid w:val="00EB1D9F"/>
    <w:rsid w:val="00EB495F"/>
    <w:rsid w:val="00EB5B1A"/>
    <w:rsid w:val="00EB6A51"/>
    <w:rsid w:val="00EB6BF9"/>
    <w:rsid w:val="00EC2355"/>
    <w:rsid w:val="00EC4CDE"/>
    <w:rsid w:val="00EC5079"/>
    <w:rsid w:val="00EC5F9F"/>
    <w:rsid w:val="00EC7436"/>
    <w:rsid w:val="00ED0C0C"/>
    <w:rsid w:val="00ED1D97"/>
    <w:rsid w:val="00ED426B"/>
    <w:rsid w:val="00ED729C"/>
    <w:rsid w:val="00EE00C5"/>
    <w:rsid w:val="00EE1F5C"/>
    <w:rsid w:val="00EE32B0"/>
    <w:rsid w:val="00EE3572"/>
    <w:rsid w:val="00EE5107"/>
    <w:rsid w:val="00EE68DE"/>
    <w:rsid w:val="00EF0D4A"/>
    <w:rsid w:val="00EF0F7F"/>
    <w:rsid w:val="00EF1053"/>
    <w:rsid w:val="00EF29AF"/>
    <w:rsid w:val="00EF4301"/>
    <w:rsid w:val="00EF5D5B"/>
    <w:rsid w:val="00EF7175"/>
    <w:rsid w:val="00EF749E"/>
    <w:rsid w:val="00F021C6"/>
    <w:rsid w:val="00F02D4D"/>
    <w:rsid w:val="00F06168"/>
    <w:rsid w:val="00F066FB"/>
    <w:rsid w:val="00F06C13"/>
    <w:rsid w:val="00F075B0"/>
    <w:rsid w:val="00F078DB"/>
    <w:rsid w:val="00F10A4E"/>
    <w:rsid w:val="00F125D6"/>
    <w:rsid w:val="00F22B20"/>
    <w:rsid w:val="00F2363D"/>
    <w:rsid w:val="00F25BB1"/>
    <w:rsid w:val="00F26093"/>
    <w:rsid w:val="00F268A3"/>
    <w:rsid w:val="00F27755"/>
    <w:rsid w:val="00F3363B"/>
    <w:rsid w:val="00F339E3"/>
    <w:rsid w:val="00F33F01"/>
    <w:rsid w:val="00F378DB"/>
    <w:rsid w:val="00F44532"/>
    <w:rsid w:val="00F45098"/>
    <w:rsid w:val="00F453CF"/>
    <w:rsid w:val="00F54388"/>
    <w:rsid w:val="00F543E3"/>
    <w:rsid w:val="00F5502D"/>
    <w:rsid w:val="00F5592C"/>
    <w:rsid w:val="00F55B86"/>
    <w:rsid w:val="00F60323"/>
    <w:rsid w:val="00F61DB8"/>
    <w:rsid w:val="00F64156"/>
    <w:rsid w:val="00F64985"/>
    <w:rsid w:val="00F66A6F"/>
    <w:rsid w:val="00F7094E"/>
    <w:rsid w:val="00F71C93"/>
    <w:rsid w:val="00F71DB5"/>
    <w:rsid w:val="00F75DF2"/>
    <w:rsid w:val="00F80DAC"/>
    <w:rsid w:val="00F82ECC"/>
    <w:rsid w:val="00F85005"/>
    <w:rsid w:val="00F86626"/>
    <w:rsid w:val="00F8734E"/>
    <w:rsid w:val="00F919A9"/>
    <w:rsid w:val="00F94FCF"/>
    <w:rsid w:val="00F97EE2"/>
    <w:rsid w:val="00FA4E91"/>
    <w:rsid w:val="00FA5D30"/>
    <w:rsid w:val="00FA67A0"/>
    <w:rsid w:val="00FB220E"/>
    <w:rsid w:val="00FB2C29"/>
    <w:rsid w:val="00FB3BE2"/>
    <w:rsid w:val="00FC27C3"/>
    <w:rsid w:val="00FC381E"/>
    <w:rsid w:val="00FC7823"/>
    <w:rsid w:val="00FC7DEB"/>
    <w:rsid w:val="00FD05A9"/>
    <w:rsid w:val="00FD3D9F"/>
    <w:rsid w:val="00FD633B"/>
    <w:rsid w:val="00FE25D7"/>
    <w:rsid w:val="00FE2802"/>
    <w:rsid w:val="00FE3928"/>
    <w:rsid w:val="00FE4369"/>
    <w:rsid w:val="00FF15E5"/>
    <w:rsid w:val="00FF1D0D"/>
    <w:rsid w:val="00FF40BF"/>
    <w:rsid w:val="00FF498A"/>
    <w:rsid w:val="00FF4C53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E32C3D-AD9C-4C2E-9C5E-8DF9B094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D9F3-CC13-4DCD-BA35-638D0AC1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142</cp:revision>
  <cp:lastPrinted>2018-07-24T07:10:00Z</cp:lastPrinted>
  <dcterms:created xsi:type="dcterms:W3CDTF">2017-04-25T14:25:00Z</dcterms:created>
  <dcterms:modified xsi:type="dcterms:W3CDTF">2019-07-31T07:32:00Z</dcterms:modified>
</cp:coreProperties>
</file>