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მთავრობის</w:t>
      </w:r>
      <w:r w:rsidR="005A44F5" w:rsidRPr="0057502A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510802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4D0CBB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4D0CBB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 w:rsidRPr="004D0CBB">
        <w:rPr>
          <w:rFonts w:ascii="Sylfaen" w:hAnsi="Sylfaen" w:cs="Sylfaen"/>
          <w:szCs w:val="21"/>
          <w:shd w:val="clear" w:color="auto" w:fill="FFFFFF"/>
        </w:rPr>
        <w:t>9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311D8A" w:rsidRPr="004D0CBB">
        <w:rPr>
          <w:rFonts w:ascii="Sylfaen" w:hAnsi="Sylfaen" w:cs="Sylfaen"/>
          <w:szCs w:val="21"/>
          <w:shd w:val="clear" w:color="auto" w:fill="FFFFFF"/>
        </w:rPr>
        <w:t>3</w:t>
      </w:r>
      <w:r w:rsidR="00D203DE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EB0EE9" w:rsidRPr="004D0CB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D203DE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2402B6">
        <w:rPr>
          <w:rFonts w:ascii="Sylfaen" w:hAnsi="Sylfaen" w:cs="Sylfaen"/>
          <w:szCs w:val="21"/>
          <w:shd w:val="clear" w:color="auto" w:fill="FFFFFF"/>
        </w:rPr>
        <w:t>18</w:t>
      </w:r>
      <w:r w:rsidR="0087661E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2402B6">
        <w:rPr>
          <w:rFonts w:ascii="Sylfaen" w:hAnsi="Sylfaen" w:cs="Sylfaen"/>
          <w:szCs w:val="21"/>
          <w:shd w:val="clear" w:color="auto" w:fill="FFFFFF"/>
        </w:rPr>
        <w:t>510</w:t>
      </w:r>
      <w:r w:rsidR="00914D8C" w:rsidRPr="004D0CB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402B6">
        <w:rPr>
          <w:rFonts w:ascii="Sylfaen" w:hAnsi="Sylfaen" w:cs="Sylfaen"/>
          <w:szCs w:val="21"/>
          <w:shd w:val="clear" w:color="auto" w:fill="FFFFFF"/>
        </w:rPr>
        <w:t>0</w:t>
      </w:r>
      <w:r w:rsidR="00311D8A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4D0CBB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9B63F3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="00EB0989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18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506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.0 მლნ ლარს</w:t>
      </w:r>
      <w:r w:rsidR="003E43A7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3E43A7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B2672E">
        <w:rPr>
          <w:rFonts w:ascii="Sylfaen" w:hAnsi="Sylfaen"/>
          <w:szCs w:val="21"/>
          <w:shd w:val="clear" w:color="auto" w:fill="FFFFFF"/>
          <w:lang w:val="ka-GE"/>
        </w:rPr>
        <w:t>ი ვალის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242810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3.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9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510802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15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001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>.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9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51080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CB5065" w:rsidRPr="00544364">
        <w:rPr>
          <w:rFonts w:ascii="Sylfaen" w:hAnsi="Sylfaen"/>
          <w:szCs w:val="21"/>
          <w:shd w:val="clear" w:color="auto" w:fill="FFFFFF"/>
          <w:lang w:val="ka-GE"/>
        </w:rPr>
        <w:t>8</w:t>
      </w:r>
      <w:r w:rsidR="00236683" w:rsidRPr="00544364">
        <w:rPr>
          <w:rFonts w:ascii="Sylfaen" w:hAnsi="Sylfaen"/>
          <w:szCs w:val="21"/>
          <w:shd w:val="clear" w:color="auto" w:fill="FFFFFF"/>
        </w:rPr>
        <w:t>1</w:t>
      </w:r>
      <w:r w:rsidR="006F4202" w:rsidRPr="00510802">
        <w:rPr>
          <w:rFonts w:ascii="Sylfaen" w:hAnsi="Sylfaen"/>
          <w:szCs w:val="21"/>
          <w:shd w:val="clear" w:color="auto" w:fill="FFFFFF"/>
        </w:rPr>
        <w:t>%-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510802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დასაფინანსებლად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CB5065">
        <w:rPr>
          <w:rFonts w:ascii="Sylfaen" w:hAnsi="Sylfaen"/>
          <w:szCs w:val="21"/>
          <w:shd w:val="clear" w:color="auto" w:fill="FFFFFF"/>
          <w:lang w:val="ka-GE"/>
        </w:rPr>
        <w:t>21</w:t>
      </w:r>
      <w:r w:rsidR="002A3C73" w:rsidRPr="00A33B4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CB5065">
        <w:rPr>
          <w:rFonts w:ascii="Sylfaen" w:hAnsi="Sylfaen"/>
          <w:szCs w:val="21"/>
          <w:shd w:val="clear" w:color="auto" w:fill="FFFFFF"/>
          <w:lang w:val="ka-GE"/>
        </w:rPr>
        <w:t>8</w:t>
      </w:r>
      <w:r w:rsidR="00C126E1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A33B48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A33B48">
        <w:rPr>
          <w:rFonts w:ascii="Sylfaen" w:hAnsi="Sylfaen"/>
          <w:szCs w:val="21"/>
          <w:shd w:val="clear" w:color="auto" w:fill="FFFFFF"/>
        </w:rPr>
        <w:t>.</w:t>
      </w:r>
      <w:r w:rsidR="00CB5065">
        <w:rPr>
          <w:rFonts w:ascii="Sylfaen" w:hAnsi="Sylfaen"/>
          <w:szCs w:val="21"/>
          <w:shd w:val="clear" w:color="auto" w:fill="FFFFFF"/>
          <w:lang w:val="ka-GE"/>
        </w:rPr>
        <w:t>7</w:t>
      </w:r>
      <w:r w:rsidR="00C126E1" w:rsidRPr="00A33B4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CB36D7" w:rsidRPr="00A33B48">
        <w:rPr>
          <w:rFonts w:ascii="Sylfaen" w:hAnsi="Sylfaen" w:cs="Sylfaen"/>
          <w:szCs w:val="21"/>
          <w:shd w:val="clear" w:color="auto" w:fill="FFFFFF"/>
          <w:lang w:val="ka-GE"/>
        </w:rPr>
        <w:t>2.</w:t>
      </w:r>
      <w:r w:rsidR="00D46022" w:rsidRPr="00A33B48">
        <w:rPr>
          <w:rFonts w:ascii="Sylfaen" w:hAnsi="Sylfaen" w:cs="Sylfaen"/>
          <w:szCs w:val="21"/>
          <w:shd w:val="clear" w:color="auto" w:fill="FFFFFF"/>
        </w:rPr>
        <w:t>2</w:t>
      </w:r>
      <w:r w:rsidR="00CB5065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C0704" w:rsidRDefault="00784855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>
        <w:rPr>
          <w:rFonts w:ascii="Sylfaen" w:hAnsi="Sylfaen"/>
          <w:b/>
          <w:szCs w:val="18"/>
          <w:shd w:val="clear" w:color="auto" w:fill="FFFFFF"/>
          <w:lang w:val="ka-GE"/>
        </w:rPr>
        <w:t>9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CB5065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CB5065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4C070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36683" w:rsidRPr="00A33B48" w:rsidRDefault="0023668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236683" w:rsidRPr="00A33B48" w:rsidRDefault="0023668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236683" w:rsidRPr="00A33B48" w:rsidRDefault="0023668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236683" w:rsidRPr="00DE4001" w:rsidRDefault="00236683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7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236683" w:rsidRPr="00A33B48" w:rsidRDefault="0023668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236683" w:rsidRPr="00A33B48" w:rsidRDefault="0023668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236683" w:rsidRPr="00A33B48" w:rsidRDefault="0023668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236683" w:rsidRPr="00DE4001" w:rsidRDefault="00236683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7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4C0704">
        <w:rPr>
          <w:rFonts w:ascii="Sylfaen" w:hAnsi="Sylfaen"/>
          <w:lang w:val="ka-GE"/>
        </w:rPr>
        <w:t xml:space="preserve"> </w:t>
      </w:r>
      <w:r w:rsidR="00DE4001" w:rsidRPr="00544364">
        <w:rPr>
          <w:noProof/>
          <w:sz w:val="18"/>
          <w:szCs w:val="18"/>
        </w:rPr>
        <w:drawing>
          <wp:inline distT="0" distB="0" distL="0" distR="0" wp14:anchorId="20933C21" wp14:editId="4B767450">
            <wp:extent cx="4218323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7E9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Pr="001C5235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CB5065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B5065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B5065">
        <w:rPr>
          <w:rFonts w:ascii="Sylfaen" w:hAnsi="Sylfaen" w:cs="Sylfaen"/>
          <w:szCs w:val="21"/>
          <w:shd w:val="clear" w:color="auto" w:fill="FFFFFF"/>
          <w:lang w:val="ka-GE"/>
        </w:rPr>
        <w:t>59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6F4202" w:rsidRPr="0036419C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36419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050EF1" w:rsidRPr="0036419C">
        <w:rPr>
          <w:rFonts w:ascii="Sylfaen" w:hAnsi="Sylfaen" w:cs="Sylfaen"/>
          <w:szCs w:val="21"/>
          <w:shd w:val="clear" w:color="auto" w:fill="FFFFFF"/>
          <w:lang w:val="ka-GE"/>
        </w:rPr>
        <w:t>35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7509F" w:rsidRDefault="00236683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8EEFE" wp14:editId="60D53627">
            <wp:simplePos x="0" y="0"/>
            <wp:positionH relativeFrom="page">
              <wp:posOffset>4076207</wp:posOffset>
            </wp:positionH>
            <wp:positionV relativeFrom="paragraph">
              <wp:posOffset>165204</wp:posOffset>
            </wp:positionV>
            <wp:extent cx="2440940" cy="1868805"/>
            <wp:effectExtent l="0" t="0" r="35560" b="0"/>
            <wp:wrapThrough wrapText="bothSides">
              <wp:wrapPolygon edited="0">
                <wp:start x="0" y="0"/>
                <wp:lineTo x="0" y="21358"/>
                <wp:lineTo x="21746" y="21358"/>
                <wp:lineTo x="21746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539143</wp:posOffset>
            </wp:positionH>
            <wp:positionV relativeFrom="paragraph">
              <wp:posOffset>140922</wp:posOffset>
            </wp:positionV>
            <wp:extent cx="2847975" cy="1905000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570C98" w:rsidRPr="0057502A">
        <w:rPr>
          <w:rFonts w:ascii="Sylfaen" w:hAnsi="Sylfaen"/>
          <w:lang w:val="ka-GE"/>
        </w:rPr>
        <w:t xml:space="preserve">  </w:t>
      </w:r>
    </w:p>
    <w:p w:rsid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04141">
        <w:rPr>
          <w:rFonts w:ascii="Sylfaen" w:hAnsi="Sylfaen"/>
          <w:b/>
          <w:lang w:val="ka-GE"/>
        </w:rPr>
        <w:t xml:space="preserve"> საგარეო ვალის სტრუქტურა - </w:t>
      </w:r>
      <w:r>
        <w:rPr>
          <w:rFonts w:ascii="Sylfaen" w:hAnsi="Sylfaen"/>
          <w:b/>
          <w:lang w:val="ka-GE"/>
        </w:rPr>
        <w:t>2019</w:t>
      </w:r>
      <w:r w:rsidR="00E46C45" w:rsidRPr="00F53863">
        <w:rPr>
          <w:rFonts w:ascii="Sylfaen" w:hAnsi="Sylfaen"/>
          <w:b/>
          <w:lang w:val="ka-GE"/>
        </w:rPr>
        <w:t xml:space="preserve"> წლის </w:t>
      </w:r>
      <w:r w:rsidR="00CB5065">
        <w:rPr>
          <w:rFonts w:ascii="Sylfaen" w:hAnsi="Sylfaen" w:cs="Sylfaen"/>
          <w:b/>
          <w:szCs w:val="18"/>
          <w:shd w:val="clear" w:color="auto" w:fill="FFFFFF"/>
          <w:lang w:val="ka-GE"/>
        </w:rPr>
        <w:t>30</w:t>
      </w:r>
      <w:r w:rsidR="001757D3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CB5065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1757D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F53863">
        <w:rPr>
          <w:rFonts w:ascii="Sylfaen" w:hAnsi="Sylfaen"/>
          <w:b/>
          <w:lang w:val="ka-GE"/>
        </w:rPr>
        <w:t xml:space="preserve"> </w:t>
      </w:r>
      <w:r w:rsidR="00071D1D" w:rsidRPr="00B04141">
        <w:rPr>
          <w:rFonts w:ascii="Sylfaen" w:hAnsi="Sylfaen"/>
          <w:b/>
          <w:lang w:val="ka-GE"/>
        </w:rPr>
        <w:t>მდგომარეობით</w:t>
      </w:r>
    </w:p>
    <w:p w:rsidR="00E14FE1" w:rsidRDefault="00E14FE1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93"/>
        <w:gridCol w:w="1196"/>
        <w:gridCol w:w="1151"/>
        <w:gridCol w:w="1523"/>
        <w:gridCol w:w="1030"/>
        <w:gridCol w:w="1038"/>
      </w:tblGrid>
      <w:tr w:rsidR="00E14FE1" w:rsidRPr="00E14FE1" w:rsidTr="00E14FE1">
        <w:trPr>
          <w:trHeight w:val="487"/>
          <w:tblHeader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11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89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2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30.06.2019 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14FE1" w:rsidRPr="00E14FE1" w:rsidTr="001A078F">
        <w:trPr>
          <w:trHeight w:val="307"/>
        </w:trPr>
        <w:tc>
          <w:tcPr>
            <w:tcW w:w="2117" w:type="pct"/>
            <w:gridSpan w:val="2"/>
            <w:shd w:val="clear" w:color="000000" w:fill="DDEBF7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სახელმწიფო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საგარეო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ვალი</w:t>
            </w:r>
            <w:proofErr w:type="spellEnd"/>
          </w:p>
        </w:tc>
        <w:tc>
          <w:tcPr>
            <w:tcW w:w="611" w:type="pct"/>
            <w:shd w:val="clear" w:color="000000" w:fill="DDEBF7"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5,229,508</w:t>
            </w:r>
          </w:p>
        </w:tc>
        <w:tc>
          <w:tcPr>
            <w:tcW w:w="589" w:type="pct"/>
            <w:shd w:val="clear" w:color="000000" w:fill="DDEBF7"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15,001,890</w:t>
            </w:r>
          </w:p>
        </w:tc>
        <w:tc>
          <w:tcPr>
            <w:tcW w:w="619" w:type="pct"/>
            <w:shd w:val="clear" w:color="000000" w:fill="DDEBF7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527" w:type="pct"/>
            <w:shd w:val="clear" w:color="000000" w:fill="DDEBF7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536" w:type="pct"/>
            <w:shd w:val="clear" w:color="000000" w:fill="DDEBF7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</w:tr>
      <w:tr w:rsidR="00E14FE1" w:rsidRPr="00E14FE1" w:rsidTr="001A078F">
        <w:trPr>
          <w:trHeight w:val="352"/>
        </w:trPr>
        <w:tc>
          <w:tcPr>
            <w:tcW w:w="2117" w:type="pct"/>
            <w:gridSpan w:val="2"/>
            <w:shd w:val="clear" w:color="000000" w:fill="E2EFDA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მრავალმხრივი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კრედიტორები</w:t>
            </w:r>
            <w:proofErr w:type="spellEnd"/>
          </w:p>
        </w:tc>
        <w:tc>
          <w:tcPr>
            <w:tcW w:w="611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3,792,460</w:t>
            </w:r>
          </w:p>
        </w:tc>
        <w:tc>
          <w:tcPr>
            <w:tcW w:w="589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10,879,431</w:t>
            </w:r>
          </w:p>
        </w:tc>
        <w:tc>
          <w:tcPr>
            <w:tcW w:w="619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7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6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ასოციაცია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(WB - IDA)</w:t>
            </w:r>
          </w:p>
        </w:tc>
        <w:tc>
          <w:tcPr>
            <w:tcW w:w="437" w:type="pct"/>
            <w:vMerge w:val="restar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760,785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2,182,463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0.75%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0.109%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251,316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720,952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0.096%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9,517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27,303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2.15%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auto" w:fill="auto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ასოციაცია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(WB - IBRD)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104,552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299,929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 + Var. Spread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0.76%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0.015%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125,570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360,223</w:t>
            </w:r>
          </w:p>
        </w:tc>
        <w:tc>
          <w:tcPr>
            <w:tcW w:w="619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LIBOR + Variable Spread 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3.02%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0.073%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176,292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505,729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3.16%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0.107%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20,477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58,743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3.29%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65,849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188,901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3.32%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0.042%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9,474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27,178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3.33%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46,690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133,939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3.36%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0.030%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31,485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90,321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3.38%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0.020%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25,469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73,064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3.44%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0.017%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150,371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431,368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3.56%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0.102%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120,000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344,244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3.63%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0.083%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1,891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5,426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3.64%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25,937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74,406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3.68%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სოფლის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მეურნეობის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ფონდი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(IFAD)</w:t>
            </w:r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18,779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53,872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0.75%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10,465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30,022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4,422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12,686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(SDR LIBOR + IBRD Variable Spread)/2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1.83%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სავალუტო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ფონდი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(SBA )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20,853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59,821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SDR Rate of Charge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ევროგაერთიანება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E14FE1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(EU)</w:t>
            </w:r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11,384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32,657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0.52%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14,799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42,454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1.16%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17,076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48,985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1.25%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ევროპის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რეკონსტრუქციის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(EBRD)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118,952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341,238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EURIBOR+ 1%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0.79%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auto" w:fill="auto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აზიის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(ADB)</w:t>
            </w:r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63,868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183,219</w:t>
            </w:r>
          </w:p>
        </w:tc>
        <w:tc>
          <w:tcPr>
            <w:tcW w:w="619" w:type="pct"/>
            <w:vMerge w:val="restar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369,329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1,059,493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1.50%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0.106%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42,288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121,312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1.60%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226,754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650,490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0.087%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83,248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238,814</w:t>
            </w:r>
          </w:p>
        </w:tc>
        <w:tc>
          <w:tcPr>
            <w:tcW w:w="619" w:type="pct"/>
            <w:shd w:val="clear" w:color="auto" w:fill="auto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 + Fixed Spread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0.40%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54,167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155,388</w:t>
            </w:r>
          </w:p>
        </w:tc>
        <w:tc>
          <w:tcPr>
            <w:tcW w:w="619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LIBOR + Fixed Spread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2.97%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0.031%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14,000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40,162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3.08%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48,607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139,438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3.23%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0.030%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72,866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209,030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3.26%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0.045%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50,000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143,435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3.30%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0.032%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15,794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45,309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3.33%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45,257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129,830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3.33%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0.029%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24,406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70,013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3.37%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0.016%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38,974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111,805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3.46%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0.026%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8,420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24,154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3.49%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auto" w:fill="auto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აზიის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ინფრასტრუქტურის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(AIIB)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19,518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55,993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LIBOR + Variable Spread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4.08%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0.015%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auto" w:fill="auto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ევროსაბჭოს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(CEB)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1,026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2,944</w:t>
            </w:r>
          </w:p>
        </w:tc>
        <w:tc>
          <w:tcPr>
            <w:tcW w:w="619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+ Variable Spread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0.21%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ევროპის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საინვესტიციო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(EIB)</w:t>
            </w:r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9,507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27,274</w:t>
            </w:r>
          </w:p>
        </w:tc>
        <w:tc>
          <w:tcPr>
            <w:tcW w:w="619" w:type="pct"/>
            <w:vMerge w:val="restar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0.86%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22,768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65,314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0.87%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11,384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32,657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1.65%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26,440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75,849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1.69%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0.009%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22,768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65,314</w:t>
            </w:r>
          </w:p>
        </w:tc>
        <w:tc>
          <w:tcPr>
            <w:tcW w:w="619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1.94%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68,303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195,942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EURIBOR+0.183%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62,611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179,613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EURIBOR+0.29%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85,379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244,928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EURIBOR+0.505%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0.13%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22,768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65,314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 + 0.75%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0.27%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84,858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243,432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EURIBOR+0.75%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0.52%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11,036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31,659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EURIBOR+0.81%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0.58%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40,291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115,584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 + 0.82%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0.59%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3,415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9,797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 + 0.858%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0.62%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1A078F">
        <w:trPr>
          <w:trHeight w:val="298"/>
        </w:trPr>
        <w:tc>
          <w:tcPr>
            <w:tcW w:w="1680" w:type="pct"/>
            <w:shd w:val="clear" w:color="000000" w:fill="E2EFDA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ორმხრივი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კრედიტორები</w:t>
            </w:r>
            <w:proofErr w:type="spellEnd"/>
          </w:p>
        </w:tc>
        <w:tc>
          <w:tcPr>
            <w:tcW w:w="437" w:type="pct"/>
            <w:shd w:val="clear" w:color="000000" w:fill="E2EFDA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1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935,272</w:t>
            </w:r>
          </w:p>
        </w:tc>
        <w:tc>
          <w:tcPr>
            <w:tcW w:w="589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2,683,016</w:t>
            </w:r>
          </w:p>
        </w:tc>
        <w:tc>
          <w:tcPr>
            <w:tcW w:w="619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7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6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ავსტრია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19,756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56,675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აზერბაიჯანი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7,269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20,854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თურქმენეთი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211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606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თურქეთი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13,980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40,104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3.13%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ირანი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5,555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15,936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რუსეთი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56,478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162,019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0.043%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სომხეთი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7,903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22,672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უზბეკეთი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120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344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უკრაინა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314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ყაზახეთი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15,452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44,327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ჩინეთი</w:t>
            </w:r>
            <w:proofErr w:type="spellEnd"/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CNY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1,310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3,759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გერმანია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(</w:t>
            </w:r>
            <w:proofErr w:type="spellStart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KfW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1,532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4,394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EURIBOR+ 0.3% 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0.05%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55,781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160,019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EURIBOR+ 0.75% 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0.56%</w:t>
            </w:r>
          </w:p>
        </w:tc>
        <w:tc>
          <w:tcPr>
            <w:tcW w:w="536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126,018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361,508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0.75%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18,417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52,832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1.65%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1,701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4,881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1.90%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32,443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93,070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26,544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76,147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2.20%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11,920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34,196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4.20%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31,306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89,807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5.70%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0.034%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11,385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32,660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6.68%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0.015%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იაპონია</w:t>
            </w:r>
            <w:proofErr w:type="spellEnd"/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JPY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27,297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78,306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143,250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410,943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0.65%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1,597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4,581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1.30%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24,976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71,648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1.40%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0.007%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21,723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62,317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2.30%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კუვეიტი</w:t>
            </w:r>
            <w:proofErr w:type="spellEnd"/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KWD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340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976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2.50%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9,341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26,797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ნიდერლანდები</w:t>
            </w:r>
            <w:proofErr w:type="spellEnd"/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423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4.20%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569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1,631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5.10%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აშშ</w:t>
            </w:r>
            <w:proofErr w:type="spellEnd"/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191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549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1.50%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7,772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22,295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2.00%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4,968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14,253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2.25%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6,891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19,769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2.50%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საფრანგეთი</w:t>
            </w:r>
            <w:proofErr w:type="spellEnd"/>
          </w:p>
        </w:tc>
        <w:tc>
          <w:tcPr>
            <w:tcW w:w="437" w:type="pct"/>
            <w:vMerge w:val="restar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13,530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38,813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0.17%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22,964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65,876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1.10%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20,721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59,444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1.27%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38,175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109,512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1.41%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28,460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81,642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 + 0.33%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0.37%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108,147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310,241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0.37%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4,842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13,889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 + 1.8%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1.80%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4,178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11,985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EURIBOR + 2.1%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2.10%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E2EFDA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ფასიანი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ქაღალდები</w:t>
            </w:r>
            <w:proofErr w:type="spellEnd"/>
          </w:p>
        </w:tc>
        <w:tc>
          <w:tcPr>
            <w:tcW w:w="437" w:type="pct"/>
            <w:shd w:val="clear" w:color="000000" w:fill="E2EFDA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11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500,000</w:t>
            </w:r>
          </w:p>
        </w:tc>
        <w:tc>
          <w:tcPr>
            <w:tcW w:w="589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1,434,350</w:t>
            </w:r>
          </w:p>
        </w:tc>
        <w:tc>
          <w:tcPr>
            <w:tcW w:w="619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7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6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ევროობლიგაცია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2021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500,000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1,434,350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6.875%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0.657%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E2EFDA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გარანტირებული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კრედიტები</w:t>
            </w:r>
            <w:proofErr w:type="spellEnd"/>
          </w:p>
        </w:tc>
        <w:tc>
          <w:tcPr>
            <w:tcW w:w="437" w:type="pct"/>
            <w:shd w:val="clear" w:color="000000" w:fill="E2EFDA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11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1,775</w:t>
            </w:r>
          </w:p>
        </w:tc>
        <w:tc>
          <w:tcPr>
            <w:tcW w:w="589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5,093</w:t>
            </w:r>
          </w:p>
        </w:tc>
        <w:tc>
          <w:tcPr>
            <w:tcW w:w="619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Fixed </w:t>
            </w:r>
          </w:p>
        </w:tc>
        <w:tc>
          <w:tcPr>
            <w:tcW w:w="527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6" w:type="pct"/>
            <w:shd w:val="clear" w:color="000000" w:fill="E2EFDA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14FE1" w:rsidRPr="00E14FE1" w:rsidTr="00E14FE1">
        <w:trPr>
          <w:trHeight w:val="144"/>
        </w:trPr>
        <w:tc>
          <w:tcPr>
            <w:tcW w:w="1680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sz w:val="14"/>
                <w:szCs w:val="14"/>
              </w:rPr>
              <w:t>გერმანია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 xml:space="preserve"> (</w:t>
            </w:r>
            <w:proofErr w:type="spellStart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KfW</w:t>
            </w:r>
            <w:proofErr w:type="spellEnd"/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437" w:type="pct"/>
            <w:shd w:val="clear" w:color="000000" w:fill="FFFFFF"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11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1,775</w:t>
            </w:r>
          </w:p>
        </w:tc>
        <w:tc>
          <w:tcPr>
            <w:tcW w:w="58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153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5,093</w:t>
            </w:r>
          </w:p>
        </w:tc>
        <w:tc>
          <w:tcPr>
            <w:tcW w:w="619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27" w:type="pct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0.75%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E14FE1" w:rsidRPr="00E14FE1" w:rsidTr="001A078F">
        <w:trPr>
          <w:trHeight w:val="352"/>
        </w:trPr>
        <w:tc>
          <w:tcPr>
            <w:tcW w:w="2117" w:type="pct"/>
            <w:gridSpan w:val="2"/>
            <w:shd w:val="clear" w:color="000000" w:fill="FFFFFF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347" w:type="pct"/>
            <w:gridSpan w:val="4"/>
            <w:shd w:val="clear" w:color="000000" w:fill="FCE4D6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საშუალო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14FE1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536" w:type="pct"/>
            <w:shd w:val="clear" w:color="000000" w:fill="FCE4D6"/>
            <w:noWrap/>
            <w:vAlign w:val="center"/>
            <w:hideMark/>
          </w:tcPr>
          <w:p w:rsidR="00E14FE1" w:rsidRPr="00E14FE1" w:rsidRDefault="00E14FE1" w:rsidP="00E14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E14FE1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2.23%</w:t>
            </w:r>
          </w:p>
        </w:tc>
      </w:tr>
    </w:tbl>
    <w:p w:rsidR="00CB5065" w:rsidRDefault="00CB506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797BDC" w:rsidRDefault="00B830F8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E160B">
        <w:rPr>
          <w:rFonts w:ascii="Sylfaen" w:hAnsi="Sylfaen" w:cs="Sylfaen"/>
          <w:szCs w:val="21"/>
          <w:shd w:val="clear" w:color="auto" w:fill="FFFFFF"/>
          <w:lang w:val="ka-GE"/>
        </w:rPr>
        <w:t>საანგარიშო პერიოდში მიიმართა</w:t>
      </w:r>
      <w:r w:rsidRPr="00C2136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EA293E">
        <w:rPr>
          <w:rFonts w:ascii="Sylfaen" w:hAnsi="Sylfaen" w:cs="Sylfaen"/>
          <w:szCs w:val="21"/>
          <w:shd w:val="clear" w:color="auto" w:fill="FFFFFF"/>
          <w:lang w:val="ka-GE"/>
        </w:rPr>
        <w:t>578 036.8</w:t>
      </w:r>
      <w:r w:rsidR="009F177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C2136E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EA293E">
        <w:rPr>
          <w:rFonts w:ascii="Sylfaen" w:hAnsi="Sylfaen" w:cs="Sylfaen"/>
          <w:szCs w:val="21"/>
          <w:shd w:val="clear" w:color="auto" w:fill="FFFFFF"/>
          <w:lang w:val="ka-GE"/>
        </w:rPr>
        <w:t>425 460.7</w:t>
      </w:r>
      <w:r w:rsidR="009F177E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EA293E">
        <w:rPr>
          <w:rFonts w:ascii="Sylfaen" w:hAnsi="Sylfaen" w:cs="Sylfaen"/>
          <w:szCs w:val="21"/>
          <w:shd w:val="clear" w:color="auto" w:fill="FFFFFF"/>
          <w:lang w:val="ka-GE"/>
        </w:rPr>
        <w:t>152 576.2</w:t>
      </w:r>
      <w:r w:rsidR="009F177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4816BC" w:rsidRDefault="00FE7942" w:rsidP="00FB01F8">
      <w:pPr>
        <w:jc w:val="center"/>
        <w:rPr>
          <w:rFonts w:ascii="Sylfaen" w:hAnsi="Sylfaen"/>
          <w:b/>
          <w:lang w:val="ka-GE"/>
        </w:rPr>
      </w:pP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504D30">
        <w:rPr>
          <w:rFonts w:ascii="Sylfaen" w:hAnsi="Sylfaen"/>
          <w:b/>
          <w:lang w:val="ka-GE"/>
        </w:rPr>
        <w:t>201</w:t>
      </w:r>
      <w:r w:rsidR="00784855">
        <w:rPr>
          <w:rFonts w:ascii="Sylfaen" w:hAnsi="Sylfaen"/>
          <w:b/>
          <w:lang w:val="ka-GE"/>
        </w:rPr>
        <w:t>9</w:t>
      </w:r>
      <w:r w:rsidR="000F5720" w:rsidRPr="00504D30">
        <w:rPr>
          <w:rFonts w:ascii="Sylfaen" w:hAnsi="Sylfaen"/>
          <w:b/>
          <w:lang w:val="ka-GE"/>
        </w:rPr>
        <w:t xml:space="preserve"> წლის </w:t>
      </w:r>
      <w:r w:rsidR="0047209C">
        <w:rPr>
          <w:rFonts w:ascii="Sylfaen" w:hAnsi="Sylfaen"/>
          <w:b/>
          <w:lang w:val="ka-GE"/>
        </w:rPr>
        <w:t>30</w:t>
      </w:r>
      <w:r w:rsidR="000F5720" w:rsidRPr="00504D30">
        <w:rPr>
          <w:rFonts w:ascii="Sylfaen" w:hAnsi="Sylfaen"/>
          <w:b/>
          <w:lang w:val="ka-GE"/>
        </w:rPr>
        <w:t xml:space="preserve"> </w:t>
      </w:r>
      <w:r w:rsidR="0047209C">
        <w:rPr>
          <w:rFonts w:ascii="Sylfaen" w:hAnsi="Sylfaen"/>
          <w:b/>
          <w:lang w:val="ka-GE"/>
        </w:rPr>
        <w:t>ივნისის</w:t>
      </w:r>
      <w:r w:rsidR="00FD691A">
        <w:rPr>
          <w:rFonts w:ascii="Sylfaen" w:hAnsi="Sylfaen"/>
          <w:b/>
          <w:lang w:val="ka-GE"/>
        </w:rPr>
        <w:t xml:space="preserve"> მდგომარეობით</w:t>
      </w:r>
    </w:p>
    <w:p w:rsidR="00B34FAA" w:rsidRDefault="00EA293E" w:rsidP="000C416D">
      <w:pPr>
        <w:tabs>
          <w:tab w:val="left" w:pos="0"/>
          <w:tab w:val="left" w:pos="9356"/>
        </w:tabs>
        <w:spacing w:after="0" w:line="240" w:lineRule="auto"/>
        <w:ind w:right="852" w:firstLine="720"/>
        <w:jc w:val="right"/>
        <w:rPr>
          <w:rFonts w:ascii="Sylfaen" w:hAnsi="Sylfaen"/>
          <w:i/>
          <w:noProof/>
          <w:color w:val="000000"/>
          <w:sz w:val="16"/>
          <w:szCs w:val="18"/>
          <w:lang w:val="ka-GE"/>
        </w:rPr>
      </w:pPr>
      <w:r w:rsidRPr="000C416D">
        <w:rPr>
          <w:rFonts w:ascii="Sylfaen" w:hAnsi="Sylfaen"/>
          <w:i/>
          <w:noProof/>
          <w:color w:val="000000"/>
          <w:sz w:val="16"/>
          <w:szCs w:val="18"/>
          <w:lang w:val="ka-GE"/>
        </w:rPr>
        <w:t xml:space="preserve">    </w:t>
      </w:r>
      <w:r w:rsidR="00FB01F8" w:rsidRPr="000C416D">
        <w:rPr>
          <w:rFonts w:ascii="Sylfaen" w:hAnsi="Sylfaen"/>
          <w:i/>
          <w:noProof/>
          <w:color w:val="000000"/>
          <w:sz w:val="16"/>
          <w:szCs w:val="18"/>
          <w:lang w:val="ka-GE"/>
        </w:rPr>
        <w:t>ათასი ლარი</w:t>
      </w:r>
    </w:p>
    <w:tbl>
      <w:tblPr>
        <w:tblW w:w="497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B34FAA" w:rsidRPr="00850484" w:rsidTr="00B34FAA">
        <w:trPr>
          <w:trHeight w:val="539"/>
          <w:tblHeader/>
        </w:trPr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ვალების</w:t>
            </w:r>
            <w:proofErr w:type="spellEnd"/>
            <w:r w:rsidRPr="008504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504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დაფარვა</w:t>
            </w:r>
            <w:proofErr w:type="spellEnd"/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პროცენტი</w:t>
            </w:r>
            <w:proofErr w:type="spellEnd"/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  <w:proofErr w:type="spellEnd"/>
            <w:r w:rsidRPr="0085048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2019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1,806.7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206.6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2,013.3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2,593.3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424.2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3,017.5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3,519.5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2,444.6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5,964.1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გერმანია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34,556.0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11,270.4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45,826.3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1,123.0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163.5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1,286.5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2,015.0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351.7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2,366.7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1,480.6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311.4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1,792.0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1,200.2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241.4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1,441.6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5,823.6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3,308.4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9,132.0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292.1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55.1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347.2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13,348.8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3,321.9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16,670.7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2,799.7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649.7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3,449.4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უკრაინა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52.1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  5.3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57.4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უზბეკეთი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57.0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  5.8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62.9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35,674.3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2,860.6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38,534.8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Calibri"/>
                <w:iCs/>
                <w:color w:val="000000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1,006.7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    -  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1,006.7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sz w:val="16"/>
                <w:szCs w:val="16"/>
              </w:rPr>
            </w:pPr>
            <w:r w:rsidRPr="00850484">
              <w:rPr>
                <w:rFonts w:eastAsia="Times New Roman" w:cs="Calibri"/>
                <w:iCs/>
                <w:color w:val="000000"/>
                <w:sz w:val="16"/>
                <w:szCs w:val="16"/>
              </w:rPr>
              <w:t>IDA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120,402.6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14,081.5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134,484.1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sz w:val="16"/>
                <w:szCs w:val="16"/>
              </w:rPr>
            </w:pPr>
            <w:r w:rsidRPr="00850484">
              <w:rPr>
                <w:rFonts w:eastAsia="Times New Roman" w:cs="Calibri"/>
                <w:iCs/>
                <w:color w:val="000000"/>
                <w:sz w:val="16"/>
                <w:szCs w:val="16"/>
              </w:rPr>
              <w:lastRenderedPageBreak/>
              <w:t>IBRD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17,605.9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37,315.2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54,921.1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sz w:val="16"/>
                <w:szCs w:val="16"/>
              </w:rPr>
            </w:pPr>
            <w:r w:rsidRPr="00850484">
              <w:rPr>
                <w:rFonts w:eastAsia="Times New Roman" w:cs="Calibri"/>
                <w:iCs/>
                <w:color w:val="000000"/>
                <w:sz w:val="16"/>
                <w:szCs w:val="16"/>
              </w:rPr>
              <w:t>IFAD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1,494.8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442.3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1,937.2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sz w:val="16"/>
                <w:szCs w:val="16"/>
              </w:rPr>
            </w:pPr>
            <w:r w:rsidRPr="00850484">
              <w:rPr>
                <w:rFonts w:eastAsia="Times New Roman" w:cs="Calibri"/>
                <w:iCs/>
                <w:color w:val="000000"/>
                <w:sz w:val="16"/>
                <w:szCs w:val="16"/>
              </w:rPr>
              <w:t>EBRD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14,153.2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1,854.5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16,007.6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sz w:val="16"/>
                <w:szCs w:val="16"/>
              </w:rPr>
            </w:pPr>
            <w:r w:rsidRPr="00850484">
              <w:rPr>
                <w:rFonts w:eastAsia="Times New Roman" w:cs="Calibri"/>
                <w:iCs/>
                <w:color w:val="000000"/>
                <w:sz w:val="16"/>
                <w:szCs w:val="16"/>
              </w:rPr>
              <w:t>EIB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12,141.4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3,019.1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15,160.5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sz w:val="16"/>
                <w:szCs w:val="16"/>
              </w:rPr>
            </w:pPr>
            <w:r w:rsidRPr="00850484">
              <w:rPr>
                <w:rFonts w:eastAsia="Times New Roman" w:cs="Calibri"/>
                <w:iCs/>
                <w:color w:val="000000"/>
                <w:sz w:val="16"/>
                <w:szCs w:val="16"/>
              </w:rPr>
              <w:t>ADB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75,942.4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21,370.1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97,312.5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sz w:val="16"/>
                <w:szCs w:val="16"/>
              </w:rPr>
            </w:pPr>
            <w:r w:rsidRPr="00850484">
              <w:rPr>
                <w:rFonts w:eastAsia="Times New Roman" w:cs="Calibri"/>
                <w:iCs/>
                <w:color w:val="000000"/>
                <w:sz w:val="16"/>
                <w:szCs w:val="16"/>
              </w:rPr>
              <w:t>IMF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76,372.0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1,393.5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77,765.5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sz w:val="16"/>
                <w:szCs w:val="16"/>
              </w:rPr>
            </w:pPr>
            <w:r w:rsidRPr="00850484">
              <w:rPr>
                <w:rFonts w:eastAsia="Times New Roman" w:cs="Calibri"/>
                <w:iCs/>
                <w:color w:val="000000"/>
                <w:sz w:val="16"/>
                <w:szCs w:val="16"/>
              </w:rPr>
              <w:t>EU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    -  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1,239.9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1,239.9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Sylfaen"/>
                <w:iCs/>
                <w:color w:val="000000"/>
                <w:sz w:val="16"/>
                <w:szCs w:val="16"/>
              </w:rPr>
              <w:t>ევრობონდები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            -  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46,239.5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</w:rPr>
              <w:t xml:space="preserve">                                     46,239.5 </w:t>
            </w:r>
          </w:p>
        </w:tc>
      </w:tr>
      <w:tr w:rsidR="00B34FAA" w:rsidRPr="00850484" w:rsidTr="00B34FAA">
        <w:trPr>
          <w:trHeight w:val="288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color w:val="000000"/>
                <w:sz w:val="16"/>
                <w:szCs w:val="16"/>
              </w:rPr>
            </w:pPr>
            <w:proofErr w:type="spellStart"/>
            <w:r w:rsidRPr="00850484">
              <w:rPr>
                <w:rFonts w:ascii="Sylfaen" w:eastAsia="Times New Roman" w:hAnsi="Sylfaen" w:cs="Sylfaen"/>
                <w:b/>
                <w:bCs/>
                <w:iCs/>
                <w:color w:val="000000"/>
                <w:sz w:val="16"/>
                <w:szCs w:val="16"/>
              </w:rPr>
              <w:t>სულ</w:t>
            </w:r>
            <w:proofErr w:type="spellEnd"/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                                 425,460.7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                                 152,576.2 </w:t>
            </w:r>
          </w:p>
        </w:tc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B34FAA" w:rsidRPr="00850484" w:rsidRDefault="00B34FAA" w:rsidP="00C3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850484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                                 578,036.8 </w:t>
            </w:r>
          </w:p>
        </w:tc>
      </w:tr>
    </w:tbl>
    <w:p w:rsidR="00B34FAA" w:rsidRDefault="00B34FAA" w:rsidP="000C416D">
      <w:pPr>
        <w:tabs>
          <w:tab w:val="left" w:pos="0"/>
          <w:tab w:val="left" w:pos="9356"/>
        </w:tabs>
        <w:spacing w:after="0" w:line="240" w:lineRule="auto"/>
        <w:ind w:right="852" w:firstLine="720"/>
        <w:jc w:val="right"/>
        <w:rPr>
          <w:rFonts w:ascii="Sylfaen" w:hAnsi="Sylfaen"/>
          <w:i/>
          <w:noProof/>
          <w:color w:val="000000"/>
          <w:sz w:val="16"/>
          <w:szCs w:val="18"/>
          <w:lang w:val="ka-GE"/>
        </w:rPr>
      </w:pPr>
    </w:p>
    <w:p w:rsidR="009E33C4" w:rsidRPr="00B57E9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BF4EC7" w:rsidRDefault="0096735A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015303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თვიანი სახაზინო ვალდებულებების და 2, 5 და 10 წლიანი სახაზინო ობლიგაციების ემისია. 201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30</w:t>
      </w:r>
      <w:r w:rsidR="0002796C" w:rsidRPr="00164B20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6 თვიანზე 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</w:rPr>
        <w:t>5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თვიანზე 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863DFC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</w:rPr>
        <w:t>7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863DFC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</w:rPr>
        <w:t>9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</w:rPr>
        <w:t>4</w:t>
      </w:r>
      <w:r w:rsidR="00567ACE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67ACE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863DFC" w:rsidRDefault="00567ACE" w:rsidP="00863DFC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201</w:t>
      </w:r>
      <w:r w:rsidR="00050EF1">
        <w:rPr>
          <w:rFonts w:ascii="Sylfaen" w:hAnsi="Sylfaen" w:cs="Sylfaen"/>
          <w:shd w:val="clear" w:color="auto" w:fill="FFFFFF"/>
          <w:lang w:val="ka-GE"/>
        </w:rPr>
        <w:t>9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863DFC">
        <w:rPr>
          <w:rFonts w:ascii="Sylfaen" w:hAnsi="Sylfaen" w:cs="Sylfaen"/>
          <w:szCs w:val="21"/>
          <w:shd w:val="clear" w:color="auto" w:fill="FFFFFF"/>
        </w:rPr>
        <w:t>30</w:t>
      </w:r>
      <w:r w:rsidR="0002796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44178B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შეადგენ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63DFC">
        <w:rPr>
          <w:rFonts w:ascii="Sylfaen" w:hAnsi="Sylfaen" w:cs="Sylfaen"/>
          <w:shd w:val="clear" w:color="auto" w:fill="FFFFFF"/>
          <w:lang w:val="ka-GE"/>
        </w:rPr>
        <w:t>508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hd w:val="clear" w:color="auto" w:fill="FFFFFF"/>
          <w:lang w:val="ka-GE"/>
        </w:rPr>
        <w:t>1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 w:rsidR="00994CC0"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-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63DFC">
        <w:rPr>
          <w:rFonts w:ascii="Sylfaen" w:hAnsi="Sylfaen" w:cs="Sylfaen"/>
          <w:shd w:val="clear" w:color="auto" w:fill="FFFFFF"/>
          <w:lang w:val="ka-GE"/>
        </w:rPr>
        <w:t>512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hd w:val="clear" w:color="auto" w:fill="FFFFFF"/>
          <w:lang w:val="ka-GE"/>
        </w:rPr>
        <w:t>0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მლნ ლარი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- 3.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9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863DFC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63DFC">
        <w:rPr>
          <w:rFonts w:ascii="Sylfaen" w:hAnsi="Sylfaen" w:cs="Sylfaen"/>
          <w:shd w:val="clear" w:color="auto" w:fill="FFFFFF"/>
          <w:lang w:val="ka-GE"/>
        </w:rPr>
        <w:t>093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hd w:val="clear" w:color="auto" w:fill="FFFFFF"/>
          <w:lang w:val="ka-GE"/>
        </w:rPr>
        <w:t>3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ხოლო </w:t>
      </w:r>
      <w:r w:rsidR="00863DFC">
        <w:rPr>
          <w:rFonts w:ascii="Sylfaen" w:hAnsi="Sylfaen" w:cs="Sylfaen"/>
          <w:shd w:val="clear" w:color="auto" w:fill="FFFFFF"/>
          <w:lang w:val="ka-GE"/>
        </w:rPr>
        <w:t>410</w:t>
      </w:r>
      <w:r w:rsidR="00576720">
        <w:rPr>
          <w:rFonts w:ascii="Sylfaen" w:hAnsi="Sylfaen" w:cs="Sylfaen"/>
          <w:shd w:val="clear" w:color="auto" w:fill="FFFFFF"/>
          <w:lang w:val="ka-GE"/>
        </w:rPr>
        <w:t>.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8</w:t>
      </w:r>
      <w:r w:rsidR="0057672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 w:rsidR="00994CC0"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ნაწილში.</w:t>
      </w:r>
    </w:p>
    <w:p w:rsidR="00863DFC" w:rsidRDefault="00863DFC" w:rsidP="00863DFC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B2672E" w:rsidRDefault="00F26066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F26066" w:rsidRPr="00B2672E" w:rsidRDefault="0044178B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201</w:t>
      </w:r>
      <w:r w:rsidR="001E6B6E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9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F26066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წლის </w:t>
      </w:r>
      <w:r w:rsidR="00B2672E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30</w:t>
      </w:r>
      <w:r w:rsidR="00164B20" w:rsidRPr="00B2672E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B2672E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ივნისის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F26066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F26066" w:rsidRPr="004150CD" w:rsidRDefault="00F26066" w:rsidP="004150CD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Pr="004150CD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62"/>
        <w:gridCol w:w="3039"/>
      </w:tblGrid>
      <w:tr w:rsidR="0044178B" w:rsidRPr="00B34FAA" w:rsidTr="00B34FAA">
        <w:trPr>
          <w:trHeight w:val="42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D62E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vAlign w:val="center"/>
            <w:hideMark/>
          </w:tcPr>
          <w:p w:rsidR="00603BE0" w:rsidRPr="00B34FAA" w:rsidRDefault="00603BE0" w:rsidP="00D62E87">
            <w:pPr>
              <w:jc w:val="center"/>
              <w:rPr>
                <w:rFonts w:ascii="Sylfaen" w:hAnsi="Sylfaen" w:cs="Arial"/>
                <w:b/>
                <w:sz w:val="18"/>
                <w:szCs w:val="18"/>
              </w:rPr>
            </w:pPr>
          </w:p>
          <w:p w:rsidR="0044178B" w:rsidRPr="00B34FAA" w:rsidRDefault="001E6B6E" w:rsidP="00B2672E">
            <w:pPr>
              <w:jc w:val="center"/>
              <w:rPr>
                <w:rFonts w:ascii="Sylfaen" w:hAnsi="Sylfaen" w:cs="Arial"/>
                <w:b/>
                <w:sz w:val="18"/>
                <w:szCs w:val="18"/>
                <w:lang w:val="ka-GE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3,</w:t>
            </w:r>
            <w:r w:rsidR="00B2672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515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 w:rsidR="00B2672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896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D62E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2672E">
            <w:pPr>
              <w:tabs>
                <w:tab w:val="left" w:pos="910"/>
                <w:tab w:val="center" w:pos="1431"/>
              </w:tabs>
              <w:rPr>
                <w:rFonts w:ascii="Sylfaen" w:hAnsi="Sylfaen" w:cs="Arial"/>
                <w:b/>
                <w:sz w:val="18"/>
                <w:szCs w:val="18"/>
                <w:lang w:val="ka-GE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ab/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ab/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3</w:t>
            </w:r>
            <w:r w:rsidR="001E6B6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101</w:t>
            </w:r>
            <w:r w:rsidR="001E6B6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,105.0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461" w:type="pct"/>
            <w:vAlign w:val="center"/>
          </w:tcPr>
          <w:p w:rsidR="0044178B" w:rsidRPr="00B34FAA" w:rsidRDefault="0039166F" w:rsidP="00D62E8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DD66EB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39166F" w:rsidP="00B57E95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</w:t>
            </w:r>
            <w:r w:rsidR="00B57E95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57E95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905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57E95" w:rsidP="00B2672E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</w:t>
            </w:r>
            <w:r w:rsidR="00B2672E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193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,5</w:t>
            </w:r>
            <w:r w:rsidR="001E6B6E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57E95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402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,520.0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994C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  <w:vAlign w:val="center"/>
          </w:tcPr>
          <w:p w:rsidR="0044178B" w:rsidRPr="00B34FAA" w:rsidRDefault="00B2672E" w:rsidP="00D62E87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410</w:t>
            </w:r>
            <w:r w:rsidR="00E513A2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,846.0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44178B" w:rsidP="001E6B6E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</w:t>
            </w:r>
            <w:r w:rsidR="001E6B6E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0,846.0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57E95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170</w:t>
            </w:r>
            <w:r w:rsidR="00E513A2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,000.0</w:t>
            </w:r>
          </w:p>
        </w:tc>
      </w:tr>
      <w:tr w:rsidR="00B2672E" w:rsidRPr="00B34FAA" w:rsidTr="00B34FAA">
        <w:trPr>
          <w:trHeight w:val="288"/>
          <w:jc w:val="center"/>
        </w:trPr>
        <w:tc>
          <w:tcPr>
            <w:tcW w:w="3539" w:type="pct"/>
            <w:vAlign w:val="center"/>
          </w:tcPr>
          <w:p w:rsidR="00B2672E" w:rsidRPr="00B34FAA" w:rsidRDefault="00B2672E" w:rsidP="00B2672E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ნაშ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  <w:vAlign w:val="center"/>
          </w:tcPr>
          <w:p w:rsidR="00B2672E" w:rsidRPr="00B34FAA" w:rsidRDefault="00B2672E" w:rsidP="00B57E95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3,945.0</w:t>
            </w:r>
          </w:p>
        </w:tc>
      </w:tr>
    </w:tbl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D57A95" w:rsidRDefault="00D57A95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E0A52" w:rsidRPr="004464CC" w:rsidRDefault="00F26066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201</w:t>
      </w:r>
      <w:r w:rsidR="001E6B6E">
        <w:rPr>
          <w:rFonts w:ascii="Sylfaen" w:hAnsi="Sylfaen" w:cs="Sylfaen"/>
          <w:lang w:val="ka-GE"/>
        </w:rPr>
        <w:t>9</w:t>
      </w:r>
      <w:r w:rsidRPr="004464CC">
        <w:rPr>
          <w:rFonts w:ascii="Sylfaen" w:hAnsi="Sylfaen" w:cs="Sylfaen"/>
          <w:lang w:val="ka-GE"/>
        </w:rPr>
        <w:t xml:space="preserve"> წლის </w:t>
      </w:r>
      <w:r w:rsidR="00B2672E">
        <w:rPr>
          <w:rFonts w:ascii="Sylfaen" w:hAnsi="Sylfaen" w:cs="Sylfaen"/>
          <w:szCs w:val="18"/>
          <w:shd w:val="clear" w:color="auto" w:fill="FFFFFF"/>
          <w:lang w:val="ka-GE"/>
        </w:rPr>
        <w:t>30</w:t>
      </w:r>
      <w:r w:rsidR="00581B0F" w:rsidRPr="00581B0F">
        <w:rPr>
          <w:rFonts w:ascii="Sylfaen" w:hAnsi="Sylfaen" w:cs="Sylfaen"/>
          <w:szCs w:val="18"/>
          <w:shd w:val="clear" w:color="auto" w:fill="FFFFFF"/>
        </w:rPr>
        <w:t xml:space="preserve"> </w:t>
      </w:r>
      <w:r w:rsidR="00B2672E">
        <w:rPr>
          <w:rFonts w:ascii="Sylfaen" w:hAnsi="Sylfaen" w:cs="Sylfaen"/>
          <w:szCs w:val="18"/>
          <w:shd w:val="clear" w:color="auto" w:fill="FFFFFF"/>
          <w:lang w:val="ka-GE"/>
        </w:rPr>
        <w:t>ივნისის</w:t>
      </w:r>
      <w:r w:rsidR="00581B0F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 xml:space="preserve">მდგომარეობით, </w:t>
      </w:r>
      <w:r w:rsidR="005E0A52" w:rsidRPr="004464CC">
        <w:rPr>
          <w:rFonts w:ascii="Sylfaen" w:hAnsi="Sylfaen" w:cs="Sylfaen"/>
          <w:lang w:val="ka-GE"/>
        </w:rPr>
        <w:t xml:space="preserve">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B2672E" w:rsidRPr="001C5C40">
        <w:rPr>
          <w:rFonts w:ascii="Sylfaen" w:hAnsi="Sylfaen" w:cs="Sylfaen"/>
          <w:lang w:val="ka-GE"/>
        </w:rPr>
        <w:t>922</w:t>
      </w:r>
      <w:r w:rsidR="00D97EEF">
        <w:rPr>
          <w:rFonts w:ascii="Sylfaen" w:hAnsi="Sylfaen" w:cs="Sylfaen"/>
        </w:rPr>
        <w:t xml:space="preserve"> </w:t>
      </w:r>
      <w:r w:rsidR="00B2672E" w:rsidRPr="001C5C40">
        <w:rPr>
          <w:rFonts w:ascii="Sylfaen" w:hAnsi="Sylfaen" w:cs="Sylfaen"/>
          <w:lang w:val="ka-GE"/>
        </w:rPr>
        <w:t>824</w:t>
      </w:r>
      <w:r w:rsidR="00B2672E">
        <w:rPr>
          <w:rFonts w:ascii="Sylfaen" w:hAnsi="Sylfaen" w:cs="Sylfaen"/>
          <w:lang w:val="ka-GE"/>
        </w:rPr>
        <w:t>.</w:t>
      </w:r>
      <w:r w:rsidR="00B2672E" w:rsidRPr="001C5C40">
        <w:rPr>
          <w:rFonts w:ascii="Sylfaen" w:hAnsi="Sylfaen" w:cs="Sylfaen"/>
          <w:lang w:val="ka-GE"/>
        </w:rPr>
        <w:t>1</w:t>
      </w:r>
      <w:r w:rsidR="00B2672E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ათასი ლარი,</w:t>
      </w:r>
      <w:r w:rsidR="00746294" w:rsidRPr="004464CC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>ძირითადი თანხის დაფარვა</w:t>
      </w:r>
      <w:r w:rsidR="005E0A52" w:rsidRPr="004464CC">
        <w:rPr>
          <w:rFonts w:ascii="Sylfaen" w:hAnsi="Sylfaen" w:cs="Sylfaen"/>
          <w:lang w:val="ka-GE"/>
        </w:rPr>
        <w:t>მ</w:t>
      </w:r>
      <w:r w:rsidRPr="004464CC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კი</w:t>
      </w:r>
      <w:r w:rsidR="001F3BCB" w:rsidRPr="004464CC">
        <w:rPr>
          <w:rFonts w:ascii="Sylfaen" w:hAnsi="Sylfaen" w:cs="Sylfaen"/>
        </w:rPr>
        <w:t xml:space="preserve"> </w:t>
      </w:r>
      <w:r w:rsidR="00B2672E" w:rsidRPr="001C5C40">
        <w:rPr>
          <w:rFonts w:ascii="Sylfaen" w:hAnsi="Sylfaen" w:cs="Sylfaen"/>
          <w:lang w:val="ka-GE"/>
        </w:rPr>
        <w:t>647</w:t>
      </w:r>
      <w:r w:rsidR="00D97EEF">
        <w:rPr>
          <w:rFonts w:ascii="Sylfaen" w:hAnsi="Sylfaen" w:cs="Sylfaen"/>
        </w:rPr>
        <w:t xml:space="preserve"> </w:t>
      </w:r>
      <w:r w:rsidR="00B2672E" w:rsidRPr="001C5C40">
        <w:rPr>
          <w:rFonts w:ascii="Sylfaen" w:hAnsi="Sylfaen" w:cs="Sylfaen"/>
          <w:lang w:val="ka-GE"/>
        </w:rPr>
        <w:t>136</w:t>
      </w:r>
      <w:r w:rsidR="00B2672E">
        <w:rPr>
          <w:rFonts w:ascii="Sylfaen" w:hAnsi="Sylfaen" w:cs="Sylfaen"/>
          <w:lang w:val="ka-GE"/>
        </w:rPr>
        <w:t>.</w:t>
      </w:r>
      <w:r w:rsidR="00B2672E" w:rsidRPr="001C5C40">
        <w:rPr>
          <w:rFonts w:ascii="Sylfaen" w:hAnsi="Sylfaen" w:cs="Sylfaen"/>
          <w:lang w:val="ka-GE"/>
        </w:rPr>
        <w:t>3</w:t>
      </w:r>
      <w:r w:rsidR="00B2672E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>ათასი ლარი</w:t>
      </w:r>
      <w:r w:rsidR="00746294" w:rsidRPr="004464CC">
        <w:rPr>
          <w:rFonts w:ascii="Sylfaen" w:hAnsi="Sylfaen" w:cs="Sylfaen"/>
          <w:lang w:val="ka-GE"/>
        </w:rPr>
        <w:t xml:space="preserve">. </w:t>
      </w:r>
      <w:r w:rsidR="005E0A52" w:rsidRPr="004464CC">
        <w:rPr>
          <w:rFonts w:ascii="Sylfaen" w:hAnsi="Sylfaen" w:cs="Sylfaen"/>
          <w:lang w:val="ka-GE"/>
        </w:rPr>
        <w:t>შესაბამისად</w:t>
      </w:r>
      <w:r w:rsidR="001B2633" w:rsidRPr="004464CC">
        <w:rPr>
          <w:rFonts w:ascii="Sylfaen" w:hAnsi="Sylfaen" w:cs="Sylfaen"/>
        </w:rPr>
        <w:t>,</w:t>
      </w:r>
      <w:r w:rsidR="005E0A52" w:rsidRPr="004464CC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FB7087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44178B" w:rsidRPr="004464CC">
        <w:rPr>
          <w:rFonts w:ascii="Sylfaen" w:hAnsi="Sylfaen" w:cs="Sylfaen"/>
          <w:lang w:val="ka-GE"/>
        </w:rPr>
        <w:t xml:space="preserve"> </w:t>
      </w:r>
      <w:r w:rsidR="00B2672E" w:rsidRPr="001C5C40">
        <w:rPr>
          <w:rFonts w:ascii="Sylfaen" w:hAnsi="Sylfaen" w:cs="Sylfaen"/>
          <w:lang w:val="ka-GE"/>
        </w:rPr>
        <w:t>275</w:t>
      </w:r>
      <w:r w:rsidR="00D97EEF">
        <w:rPr>
          <w:rFonts w:ascii="Sylfaen" w:hAnsi="Sylfaen" w:cs="Sylfaen"/>
        </w:rPr>
        <w:t xml:space="preserve"> </w:t>
      </w:r>
      <w:bookmarkStart w:id="0" w:name="_GoBack"/>
      <w:bookmarkEnd w:id="0"/>
      <w:r w:rsidR="00B2672E" w:rsidRPr="001C5C40">
        <w:rPr>
          <w:rFonts w:ascii="Sylfaen" w:hAnsi="Sylfaen" w:cs="Sylfaen"/>
          <w:lang w:val="ka-GE"/>
        </w:rPr>
        <w:t>687</w:t>
      </w:r>
      <w:r w:rsidR="00B2672E">
        <w:rPr>
          <w:rFonts w:ascii="Sylfaen" w:hAnsi="Sylfaen" w:cs="Sylfaen"/>
          <w:lang w:val="ka-GE"/>
        </w:rPr>
        <w:t xml:space="preserve">.8 </w:t>
      </w:r>
      <w:r w:rsidR="005E0A52" w:rsidRPr="004464CC">
        <w:rPr>
          <w:rFonts w:ascii="Sylfaen" w:hAnsi="Sylfaen" w:cs="Sylfaen"/>
          <w:lang w:val="ka-GE"/>
        </w:rPr>
        <w:t>ათას</w:t>
      </w:r>
      <w:r w:rsidR="00746294" w:rsidRPr="004464CC">
        <w:rPr>
          <w:rFonts w:ascii="Sylfaen" w:hAnsi="Sylfaen" w:cs="Sylfaen"/>
          <w:lang w:val="ka-GE"/>
        </w:rPr>
        <w:t>ი</w:t>
      </w:r>
      <w:r w:rsidR="005E0A52" w:rsidRPr="004464CC">
        <w:rPr>
          <w:rFonts w:ascii="Sylfaen" w:hAnsi="Sylfaen" w:cs="Sylfaen"/>
          <w:lang w:val="ka-GE"/>
        </w:rPr>
        <w:t xml:space="preserve"> ლარით განისაზღვრა.</w:t>
      </w:r>
    </w:p>
    <w:p w:rsidR="00F26066" w:rsidRDefault="005E0A52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საანგარიშო პერიოდში განხორციელდა</w:t>
      </w:r>
      <w:r w:rsidR="00F26066" w:rsidRPr="004464CC">
        <w:rPr>
          <w:rFonts w:ascii="Sylfaen" w:hAnsi="Sylfaen" w:cs="Sylfaen"/>
          <w:lang w:val="ka-GE"/>
        </w:rPr>
        <w:t xml:space="preserve"> ობლიგაციები</w:t>
      </w:r>
      <w:r w:rsidR="00994CC0">
        <w:rPr>
          <w:rFonts w:ascii="Sylfaen" w:hAnsi="Sylfaen" w:cs="Sylfaen"/>
          <w:lang w:val="ka-GE"/>
        </w:rPr>
        <w:t xml:space="preserve"> ღია ბაზრის ოპერაციებისთვის</w:t>
      </w:r>
      <w:r w:rsidR="00F26066" w:rsidRPr="004464CC">
        <w:rPr>
          <w:rFonts w:ascii="Sylfaen" w:hAnsi="Sylfaen" w:cs="Sylfaen"/>
          <w:lang w:val="ka-GE"/>
        </w:rPr>
        <w:t xml:space="preserve"> ძირითადი თანხის დაფარვა (სებ-ის მიმართ ვალი) </w:t>
      </w:r>
      <w:r w:rsidR="00B2672E">
        <w:rPr>
          <w:rFonts w:ascii="Sylfaen" w:hAnsi="Sylfaen" w:cs="Sylfaen"/>
          <w:lang w:val="ka-GE"/>
        </w:rPr>
        <w:t>22</w:t>
      </w:r>
      <w:r w:rsidR="00603BE0">
        <w:rPr>
          <w:rFonts w:ascii="Sylfaen" w:hAnsi="Sylfaen" w:cs="Sylfaen"/>
          <w:lang w:val="ka-GE"/>
        </w:rPr>
        <w:t xml:space="preserve"> </w:t>
      </w:r>
      <w:r w:rsidR="00F26066" w:rsidRPr="00FB7087">
        <w:rPr>
          <w:rFonts w:ascii="Sylfaen" w:hAnsi="Sylfaen" w:cs="Sylfaen"/>
          <w:lang w:val="ka-GE"/>
        </w:rPr>
        <w:t>000.0 ათასი</w:t>
      </w:r>
      <w:r w:rsidR="00F26066" w:rsidRPr="004464CC">
        <w:rPr>
          <w:rFonts w:ascii="Sylfaen" w:hAnsi="Sylfaen" w:cs="Sylfaen"/>
          <w:lang w:val="ka-GE"/>
        </w:rPr>
        <w:t xml:space="preserve"> ლარის ოდენობით, საქართველოს მთავრობის და საქართველოს ეროვნული ბანკის 2006 წლის 15 მაისის „საქართველოს მთავრობის საქართველოს ეროვნული ბანკისადმი დავალიანების დაფარვის ღონისძიებების შესახებ“</w:t>
      </w:r>
      <w:r w:rsidR="00F26066" w:rsidRPr="009531BC">
        <w:rPr>
          <w:rFonts w:ascii="Sylfaen" w:hAnsi="Sylfaen" w:cs="Sylfaen"/>
          <w:lang w:val="ka-GE"/>
        </w:rPr>
        <w:t xml:space="preserve"> 2006 წლის 20 მარტის შეთანხმებაში ცვლილებების შეტანის თაობაზე“ შეთანხმების შესაბამისად. </w:t>
      </w:r>
    </w:p>
    <w:p w:rsidR="005349CA" w:rsidRPr="009531BC" w:rsidRDefault="005349CA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4150CD" w:rsidRDefault="0075480C" w:rsidP="00ED1C55">
      <w:pPr>
        <w:tabs>
          <w:tab w:val="left" w:pos="720"/>
        </w:tabs>
        <w:spacing w:after="0" w:line="240" w:lineRule="auto"/>
        <w:jc w:val="center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>
        <w:rPr>
          <w:rFonts w:ascii="Sylfaen" w:hAnsi="Sylfaen"/>
          <w:b/>
          <w:lang w:val="ka-GE"/>
        </w:rPr>
        <w:lastRenderedPageBreak/>
        <w:t>მთავრობის</w:t>
      </w:r>
      <w:r w:rsidR="000340AB" w:rsidRPr="00B4160B">
        <w:rPr>
          <w:rFonts w:ascii="Sylfaen" w:hAnsi="Sylfaen"/>
          <w:b/>
          <w:lang w:val="ka-GE"/>
        </w:rPr>
        <w:t xml:space="preserve"> ვალის</w:t>
      </w:r>
      <w:r w:rsidR="000340AB">
        <w:rPr>
          <w:rFonts w:ascii="Sylfaen" w:hAnsi="Sylfaen"/>
          <w:b/>
          <w:lang w:val="ka-GE"/>
        </w:rPr>
        <w:t xml:space="preserve"> </w:t>
      </w:r>
      <w:r w:rsidR="0032795B">
        <w:rPr>
          <w:rFonts w:ascii="Sylfaen" w:hAnsi="Sylfaen"/>
          <w:b/>
          <w:lang w:val="ka-GE"/>
        </w:rPr>
        <w:t>ნაშთი</w:t>
      </w:r>
      <w:r w:rsidR="0032795B" w:rsidRPr="00B4160B">
        <w:rPr>
          <w:rFonts w:ascii="Sylfaen" w:hAnsi="Sylfaen"/>
          <w:b/>
          <w:lang w:val="ka-GE"/>
        </w:rPr>
        <w:t xml:space="preserve"> </w:t>
      </w:r>
      <w:r w:rsidR="001A397F" w:rsidRPr="00B4160B">
        <w:rPr>
          <w:rFonts w:ascii="Sylfaen" w:hAnsi="Sylfaen"/>
          <w:b/>
          <w:lang w:val="ka-GE"/>
        </w:rPr>
        <w:t>201</w:t>
      </w:r>
      <w:r w:rsidR="001E6B6E">
        <w:rPr>
          <w:rFonts w:ascii="Sylfaen" w:hAnsi="Sylfaen"/>
          <w:b/>
        </w:rPr>
        <w:t>9</w:t>
      </w:r>
      <w:r w:rsidR="001A397F" w:rsidRPr="00B4160B">
        <w:rPr>
          <w:rFonts w:ascii="Sylfaen" w:hAnsi="Sylfaen"/>
          <w:b/>
          <w:lang w:val="ka-GE"/>
        </w:rPr>
        <w:t xml:space="preserve"> </w:t>
      </w:r>
      <w:r w:rsidR="000340AB" w:rsidRPr="00B4160B">
        <w:rPr>
          <w:rFonts w:ascii="Sylfaen" w:hAnsi="Sylfaen"/>
          <w:b/>
          <w:lang w:val="ka-GE"/>
        </w:rPr>
        <w:t xml:space="preserve">წლის </w:t>
      </w:r>
      <w:r w:rsidR="00B2672E">
        <w:rPr>
          <w:rFonts w:ascii="Sylfaen" w:hAnsi="Sylfaen"/>
          <w:b/>
          <w:lang w:val="ka-GE"/>
        </w:rPr>
        <w:t>30</w:t>
      </w:r>
      <w:r w:rsidR="00FA187E">
        <w:rPr>
          <w:rFonts w:ascii="Sylfaen" w:hAnsi="Sylfaen"/>
          <w:b/>
          <w:lang w:val="ka-GE"/>
        </w:rPr>
        <w:t xml:space="preserve"> </w:t>
      </w:r>
      <w:r w:rsidR="00B2672E">
        <w:rPr>
          <w:rFonts w:ascii="Sylfaen" w:hAnsi="Sylfaen"/>
          <w:b/>
          <w:lang w:val="ka-GE"/>
        </w:rPr>
        <w:t>ივნისის</w:t>
      </w:r>
      <w:r w:rsidR="00861F1F">
        <w:rPr>
          <w:rFonts w:ascii="Sylfaen" w:hAnsi="Sylfaen"/>
          <w:b/>
          <w:lang w:val="ka-GE"/>
        </w:rPr>
        <w:t xml:space="preserve"> </w:t>
      </w:r>
      <w:r w:rsidR="000340AB">
        <w:rPr>
          <w:rFonts w:ascii="Sylfaen" w:hAnsi="Sylfaen"/>
          <w:b/>
          <w:lang w:val="ka-GE"/>
        </w:rPr>
        <w:t>მდგომარეობით</w:t>
      </w:r>
    </w:p>
    <w:p w:rsidR="00FB7087" w:rsidRPr="00DD66EB" w:rsidRDefault="000A553C" w:rsidP="000A553C">
      <w:pPr>
        <w:spacing w:after="0" w:line="240" w:lineRule="auto"/>
        <w:jc w:val="center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</w:t>
      </w:r>
      <w:r w:rsidR="00C175C0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</w:t>
      </w: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</w:t>
      </w:r>
      <w:r w:rsidR="004150CD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45"/>
        <w:gridCol w:w="2064"/>
      </w:tblGrid>
      <w:tr w:rsidR="00C175C0" w:rsidRPr="00C175C0" w:rsidTr="00C175C0">
        <w:trPr>
          <w:trHeight w:val="288"/>
          <w:tblHeader/>
        </w:trPr>
        <w:tc>
          <w:tcPr>
            <w:tcW w:w="39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30.06.2019</w:t>
            </w:r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C175C0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15,001,890.2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10,879,431.4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5,524,188.4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სოფლის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96,580.3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59,821.5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341,238.4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3,321,893.0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1,352,676.6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124,096.6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55,992.6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2,944.1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2,683,016.1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56,675.4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20,853.8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605.5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40,103.9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15,936.4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162,019.1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22,672.3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344.1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314.3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44,326.6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3,758.9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909,514.4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627,794.6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27,772.2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2,054.2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ამერიკა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56,866.8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691,403.7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1,434,350.0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1,434,350.0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5,092.7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5,092.7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vertAlign w:val="superscript"/>
                <w:lang w:val="ka-GE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>
              <w:rPr>
                <w:rStyle w:val="FootnoteReference"/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3,508,086.7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240,846.0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ვადის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ღია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ბაზრის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170,000.0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564,904.6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C175C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2,528,391.1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სესხის</w:t>
            </w:r>
            <w:proofErr w:type="spellEnd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სახით</w:t>
            </w:r>
            <w:proofErr w:type="spellEnd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ვალი</w:t>
            </w:r>
            <w:proofErr w:type="spellEnd"/>
            <w:r w:rsidRPr="00C175C0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3,945.0</w:t>
            </w:r>
          </w:p>
        </w:tc>
      </w:tr>
      <w:tr w:rsidR="00C175C0" w:rsidRPr="00C175C0" w:rsidTr="00C175C0">
        <w:trPr>
          <w:trHeight w:val="28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C175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75C0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175C0" w:rsidRPr="00C175C0" w:rsidRDefault="00C175C0" w:rsidP="00C175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175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18,509,976.9</w:t>
            </w:r>
          </w:p>
        </w:tc>
      </w:tr>
    </w:tbl>
    <w:p w:rsidR="00C175C0" w:rsidRPr="00FB7087" w:rsidRDefault="00C175C0" w:rsidP="000A553C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</w:p>
    <w:p w:rsidR="000340AB" w:rsidRPr="00AD6A17" w:rsidRDefault="000340AB" w:rsidP="00D62E87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proofErr w:type="spellStart"/>
      <w:proofErr w:type="gramStart"/>
      <w:r w:rsidRPr="00B01FEA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proofErr w:type="gramEnd"/>
      <w:r w:rsidRPr="00B01FEA">
        <w:rPr>
          <w:i/>
          <w:sz w:val="16"/>
          <w:szCs w:val="16"/>
        </w:rPr>
        <w:t xml:space="preserve">: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Pr="00B01FEA">
        <w:rPr>
          <w:i/>
          <w:sz w:val="16"/>
          <w:szCs w:val="16"/>
        </w:rPr>
        <w:t xml:space="preserve"> </w:t>
      </w:r>
      <w:proofErr w:type="spellStart"/>
      <w:r w:rsidRPr="00B01FEA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AD6A17" w:rsidSect="004D3EA2">
      <w:footerReference w:type="default" r:id="rId11"/>
      <w:footerReference w:type="first" r:id="rId12"/>
      <w:pgSz w:w="11907" w:h="16839" w:code="9"/>
      <w:pgMar w:top="709" w:right="837" w:bottom="709" w:left="851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70" w:rsidRDefault="001A1B70" w:rsidP="00400BED">
      <w:pPr>
        <w:spacing w:after="0" w:line="240" w:lineRule="auto"/>
      </w:pPr>
      <w:r>
        <w:separator/>
      </w:r>
    </w:p>
  </w:endnote>
  <w:endnote w:type="continuationSeparator" w:id="0">
    <w:p w:rsidR="001A1B70" w:rsidRDefault="001A1B70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04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9CA" w:rsidRDefault="00534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E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6683" w:rsidRDefault="00236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683" w:rsidRPr="00137A54" w:rsidRDefault="00236683" w:rsidP="00137A54">
    <w:pPr>
      <w:pStyle w:val="ListParagraph"/>
      <w:numPr>
        <w:ilvl w:val="0"/>
        <w:numId w:val="12"/>
      </w:numPr>
      <w:rPr>
        <w:rFonts w:ascii="Sylfaen" w:hAnsi="Sylfaen"/>
        <w:b/>
        <w:sz w:val="16"/>
        <w:szCs w:val="16"/>
        <w:lang w:val="ka-GE"/>
      </w:rPr>
    </w:pPr>
    <w:r w:rsidRPr="00236683">
      <w:rPr>
        <w:rFonts w:ascii="Sylfaen" w:hAnsi="Sylfaen"/>
        <w:i/>
        <w:sz w:val="16"/>
        <w:szCs w:val="16"/>
        <w:lang w:val="ka-GE"/>
      </w:rPr>
      <w:t>შენიშნა: ვალის ნაშთი არ მოიცავს საქართველოს სახელმწიფო ვალის შესახებ კანონის 48-ე მუხლით გათვალისწინებულ ვალდებულებებს,</w:t>
    </w:r>
    <w:r w:rsidRPr="00137A54">
      <w:rPr>
        <w:rFonts w:ascii="Sylfaen" w:hAnsi="Sylfaen"/>
        <w:b/>
        <w:sz w:val="16"/>
        <w:szCs w:val="16"/>
        <w:lang w:val="ka-GE"/>
      </w:rPr>
      <w:t xml:space="preserve"> </w:t>
    </w:r>
    <w:r w:rsidRPr="001D01A5">
      <w:rPr>
        <w:rFonts w:ascii="Sylfaen" w:hAnsi="Sylfaen"/>
        <w:i/>
        <w:sz w:val="16"/>
        <w:szCs w:val="16"/>
        <w:lang w:val="ka-GE"/>
      </w:rPr>
      <w:t>ვინაიდან აღნიშნულ მაჩვენებელზე არ არსებობს სრულყოფილი ინფორმაცია</w:t>
    </w:r>
    <w:r w:rsidRPr="001D01A5">
      <w:rPr>
        <w:rFonts w:ascii="Sylfaen" w:hAnsi="Sylfaen"/>
        <w:i/>
        <w:sz w:val="16"/>
        <w:szCs w:val="16"/>
      </w:rPr>
      <w:t>;</w:t>
    </w:r>
  </w:p>
  <w:p w:rsidR="00236683" w:rsidRDefault="00236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70" w:rsidRDefault="001A1B70" w:rsidP="00400BED">
      <w:pPr>
        <w:spacing w:after="0" w:line="240" w:lineRule="auto"/>
      </w:pPr>
      <w:r>
        <w:separator/>
      </w:r>
    </w:p>
  </w:footnote>
  <w:footnote w:type="continuationSeparator" w:id="0">
    <w:p w:rsidR="001A1B70" w:rsidRDefault="001A1B70" w:rsidP="00400BED">
      <w:pPr>
        <w:spacing w:after="0" w:line="240" w:lineRule="auto"/>
      </w:pPr>
      <w:r>
        <w:continuationSeparator/>
      </w:r>
    </w:p>
  </w:footnote>
  <w:footnote w:id="1">
    <w:p w:rsidR="00236683" w:rsidRPr="00C175C0" w:rsidRDefault="00236683" w:rsidP="00C175C0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1D01A5">
        <w:rPr>
          <w:rFonts w:ascii="Sylfaen" w:hAnsi="Sylfaen"/>
          <w:i/>
          <w:sz w:val="16"/>
          <w:szCs w:val="16"/>
          <w:lang w:val="ka-GE"/>
        </w:rPr>
        <w:t>არ მოიცავს „ე.წ. „ისტორიულ ვალის“ მოცულობას, ვინაიდან აღნიშნულ მაჩვენებელზე არ არსებობს სრულყოფილი ინფორმაცია</w:t>
      </w:r>
      <w:r w:rsidRPr="001D01A5">
        <w:rPr>
          <w:rFonts w:ascii="Sylfaen" w:hAnsi="Sylfaen"/>
          <w:i/>
          <w:sz w:val="16"/>
          <w:szCs w:val="16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188A"/>
    <w:rsid w:val="00071A4F"/>
    <w:rsid w:val="00071D1D"/>
    <w:rsid w:val="00071DD7"/>
    <w:rsid w:val="00073EEF"/>
    <w:rsid w:val="0007413E"/>
    <w:rsid w:val="00074A14"/>
    <w:rsid w:val="0007502B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53C"/>
    <w:rsid w:val="000A5F64"/>
    <w:rsid w:val="000B16F8"/>
    <w:rsid w:val="000B2189"/>
    <w:rsid w:val="000B567A"/>
    <w:rsid w:val="000B6954"/>
    <w:rsid w:val="000B6CAA"/>
    <w:rsid w:val="000C139F"/>
    <w:rsid w:val="000C3566"/>
    <w:rsid w:val="000C416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F"/>
    <w:rsid w:val="00144098"/>
    <w:rsid w:val="001441DC"/>
    <w:rsid w:val="00145367"/>
    <w:rsid w:val="0014548C"/>
    <w:rsid w:val="001536D0"/>
    <w:rsid w:val="00153A25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3364"/>
    <w:rsid w:val="00193C76"/>
    <w:rsid w:val="00197E9D"/>
    <w:rsid w:val="001A078F"/>
    <w:rsid w:val="001A1B70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36683"/>
    <w:rsid w:val="002402B6"/>
    <w:rsid w:val="0024105B"/>
    <w:rsid w:val="00242810"/>
    <w:rsid w:val="0024488E"/>
    <w:rsid w:val="00247C11"/>
    <w:rsid w:val="0025039F"/>
    <w:rsid w:val="00256FDD"/>
    <w:rsid w:val="00262BF3"/>
    <w:rsid w:val="00263EAD"/>
    <w:rsid w:val="00270120"/>
    <w:rsid w:val="00270C72"/>
    <w:rsid w:val="002758CB"/>
    <w:rsid w:val="0027700A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EE6"/>
    <w:rsid w:val="002C2F60"/>
    <w:rsid w:val="002C41C2"/>
    <w:rsid w:val="002C7782"/>
    <w:rsid w:val="002C784F"/>
    <w:rsid w:val="002D15C8"/>
    <w:rsid w:val="002D16E4"/>
    <w:rsid w:val="002D22B9"/>
    <w:rsid w:val="002D6813"/>
    <w:rsid w:val="002E3E75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49ED"/>
    <w:rsid w:val="00387352"/>
    <w:rsid w:val="0039166F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50CD"/>
    <w:rsid w:val="00416472"/>
    <w:rsid w:val="00425B8C"/>
    <w:rsid w:val="00425E7D"/>
    <w:rsid w:val="00426244"/>
    <w:rsid w:val="00427DC2"/>
    <w:rsid w:val="004324BD"/>
    <w:rsid w:val="00434625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209C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0CBB"/>
    <w:rsid w:val="004D17A6"/>
    <w:rsid w:val="004D26F9"/>
    <w:rsid w:val="004D3EA2"/>
    <w:rsid w:val="004D7B47"/>
    <w:rsid w:val="004E160B"/>
    <w:rsid w:val="004E2497"/>
    <w:rsid w:val="004E422E"/>
    <w:rsid w:val="004F2321"/>
    <w:rsid w:val="004F5AB2"/>
    <w:rsid w:val="0050185A"/>
    <w:rsid w:val="00501E22"/>
    <w:rsid w:val="00510802"/>
    <w:rsid w:val="005131CE"/>
    <w:rsid w:val="00515451"/>
    <w:rsid w:val="005165EB"/>
    <w:rsid w:val="00523560"/>
    <w:rsid w:val="0053140C"/>
    <w:rsid w:val="0053399C"/>
    <w:rsid w:val="005349CA"/>
    <w:rsid w:val="00534D33"/>
    <w:rsid w:val="0053506B"/>
    <w:rsid w:val="005370EC"/>
    <w:rsid w:val="0054275A"/>
    <w:rsid w:val="00543222"/>
    <w:rsid w:val="00544364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33C6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2D48"/>
    <w:rsid w:val="00615CCA"/>
    <w:rsid w:val="006168BD"/>
    <w:rsid w:val="006202AE"/>
    <w:rsid w:val="0062047A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A0EC7"/>
    <w:rsid w:val="006A1E01"/>
    <w:rsid w:val="006A3476"/>
    <w:rsid w:val="006A41DE"/>
    <w:rsid w:val="006A47A2"/>
    <w:rsid w:val="006A7D49"/>
    <w:rsid w:val="006B0590"/>
    <w:rsid w:val="006B1B1E"/>
    <w:rsid w:val="006B398B"/>
    <w:rsid w:val="006B3FC1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5F93"/>
    <w:rsid w:val="00826C90"/>
    <w:rsid w:val="0083184C"/>
    <w:rsid w:val="008330FC"/>
    <w:rsid w:val="00834365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3DFC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2C36"/>
    <w:rsid w:val="008B343B"/>
    <w:rsid w:val="008B5C7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4D8C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75967"/>
    <w:rsid w:val="009816B7"/>
    <w:rsid w:val="00982850"/>
    <w:rsid w:val="00982E29"/>
    <w:rsid w:val="00986AAF"/>
    <w:rsid w:val="009917B8"/>
    <w:rsid w:val="00991B14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2021C"/>
    <w:rsid w:val="00A2126C"/>
    <w:rsid w:val="00A26B28"/>
    <w:rsid w:val="00A304CC"/>
    <w:rsid w:val="00A30759"/>
    <w:rsid w:val="00A32DCB"/>
    <w:rsid w:val="00A33B48"/>
    <w:rsid w:val="00A36390"/>
    <w:rsid w:val="00A404B7"/>
    <w:rsid w:val="00A43CBC"/>
    <w:rsid w:val="00A45EB8"/>
    <w:rsid w:val="00A50002"/>
    <w:rsid w:val="00A5293F"/>
    <w:rsid w:val="00A56E3B"/>
    <w:rsid w:val="00A57273"/>
    <w:rsid w:val="00A6278E"/>
    <w:rsid w:val="00A63967"/>
    <w:rsid w:val="00A67F51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E57"/>
    <w:rsid w:val="00AD6A17"/>
    <w:rsid w:val="00AE3BBE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2672E"/>
    <w:rsid w:val="00B30876"/>
    <w:rsid w:val="00B3130D"/>
    <w:rsid w:val="00B32432"/>
    <w:rsid w:val="00B34FAA"/>
    <w:rsid w:val="00B44750"/>
    <w:rsid w:val="00B44900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7339"/>
    <w:rsid w:val="00B72782"/>
    <w:rsid w:val="00B73877"/>
    <w:rsid w:val="00B741CD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B4019"/>
    <w:rsid w:val="00BC132A"/>
    <w:rsid w:val="00BC168E"/>
    <w:rsid w:val="00BC505C"/>
    <w:rsid w:val="00BC5E24"/>
    <w:rsid w:val="00BC764D"/>
    <w:rsid w:val="00BD1D05"/>
    <w:rsid w:val="00BD3C50"/>
    <w:rsid w:val="00BD4E03"/>
    <w:rsid w:val="00BD7F9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5531"/>
    <w:rsid w:val="00C175C0"/>
    <w:rsid w:val="00C17F88"/>
    <w:rsid w:val="00C2136E"/>
    <w:rsid w:val="00C21AE9"/>
    <w:rsid w:val="00C31756"/>
    <w:rsid w:val="00C31F7F"/>
    <w:rsid w:val="00C3279B"/>
    <w:rsid w:val="00C367E2"/>
    <w:rsid w:val="00C36A3D"/>
    <w:rsid w:val="00C37E2F"/>
    <w:rsid w:val="00C42DBB"/>
    <w:rsid w:val="00C44420"/>
    <w:rsid w:val="00C4579F"/>
    <w:rsid w:val="00C52BA0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91918"/>
    <w:rsid w:val="00C92D73"/>
    <w:rsid w:val="00C9602D"/>
    <w:rsid w:val="00C9708E"/>
    <w:rsid w:val="00CA4A72"/>
    <w:rsid w:val="00CA65F9"/>
    <w:rsid w:val="00CA70A1"/>
    <w:rsid w:val="00CB2BCD"/>
    <w:rsid w:val="00CB36D7"/>
    <w:rsid w:val="00CB3F5C"/>
    <w:rsid w:val="00CB5065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3DE"/>
    <w:rsid w:val="00D207EF"/>
    <w:rsid w:val="00D21BD3"/>
    <w:rsid w:val="00D2609D"/>
    <w:rsid w:val="00D261E7"/>
    <w:rsid w:val="00D26939"/>
    <w:rsid w:val="00D31A08"/>
    <w:rsid w:val="00D32336"/>
    <w:rsid w:val="00D3238E"/>
    <w:rsid w:val="00D32582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C1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97EEF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B657D"/>
    <w:rsid w:val="00DC24F5"/>
    <w:rsid w:val="00DC3604"/>
    <w:rsid w:val="00DD252A"/>
    <w:rsid w:val="00DD2856"/>
    <w:rsid w:val="00DD66EB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4FE1"/>
    <w:rsid w:val="00E17E10"/>
    <w:rsid w:val="00E20D5F"/>
    <w:rsid w:val="00E2136D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0C3"/>
    <w:rsid w:val="00E81BCB"/>
    <w:rsid w:val="00E857B0"/>
    <w:rsid w:val="00E9045D"/>
    <w:rsid w:val="00E93712"/>
    <w:rsid w:val="00EA293E"/>
    <w:rsid w:val="00EA2D25"/>
    <w:rsid w:val="00EA388F"/>
    <w:rsid w:val="00EA46B3"/>
    <w:rsid w:val="00EA65D7"/>
    <w:rsid w:val="00EB0470"/>
    <w:rsid w:val="00EB0989"/>
    <w:rsid w:val="00EB0EE9"/>
    <w:rsid w:val="00EB1B0E"/>
    <w:rsid w:val="00EB2E2F"/>
    <w:rsid w:val="00EB4097"/>
    <w:rsid w:val="00EB7421"/>
    <w:rsid w:val="00EC0C5D"/>
    <w:rsid w:val="00EC2EC2"/>
    <w:rsid w:val="00EC5B6F"/>
    <w:rsid w:val="00EC634D"/>
    <w:rsid w:val="00EC701B"/>
    <w:rsid w:val="00ED0545"/>
    <w:rsid w:val="00ED0857"/>
    <w:rsid w:val="00ED14F4"/>
    <w:rsid w:val="00ED1C55"/>
    <w:rsid w:val="00ED39B6"/>
    <w:rsid w:val="00ED3F2C"/>
    <w:rsid w:val="00ED69D4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31FF"/>
    <w:rsid w:val="00F34EAC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93032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8%20June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18%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>
                        <a:solidFill>
                          <a:sysClr val="windowText" lastClr="000000"/>
                        </a:solidFill>
                      </a:rPr>
                      <a:t>მრავალმხრივი
60%</a:t>
                    </a:r>
                    <a:endParaRPr lang="ka-GE" sz="900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5877157499950911"/>
                  <c:y val="-2.962962962962963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/>
                      <a:t>ორმხრივი
14%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0.14029659385127649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9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b="0">
                        <a:solidFill>
                          <a:sysClr val="windowText" lastClr="000000"/>
                        </a:solidFill>
                      </a:rPr>
                      <a:t>ევრობონდი
8 %</a:t>
                    </a:r>
                    <a:endParaRPr lang="ka-GE" sz="900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  <a:endParaRPr lang="ka-GE" sz="900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8627450980392157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7251386760838"/>
          <c:y val="0.17510173613619398"/>
          <c:w val="0.82278336829517917"/>
          <c:h val="0.8063058433485287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11-4977-804C-34D50D70DA1E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111-4977-804C-34D50D70DA1E}"/>
              </c:ext>
            </c:extLst>
          </c:dPt>
          <c:dLbls>
            <c:dLbl>
              <c:idx val="0"/>
              <c:layout>
                <c:manualLayout>
                  <c:x val="-9.2817614548750899E-2"/>
                  <c:y val="-0.14226988379863481"/>
                </c:manualLayout>
              </c:layout>
              <c:tx>
                <c:rich>
                  <a:bodyPr/>
                  <a:lstStyle/>
                  <a:p>
                    <a:fld id="{82737498-9DFB-4C5B-97DF-27FC058FB40E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59%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08408236171314"/>
                      <c:h val="0.228508592389254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111-4977-804C-34D50D70DA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B7B180F-5D43-4F27-AC05-C88EB4EA4DB3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41%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111-4977-804C-34D50D70DA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11-4977-804C-34D50D70DA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57533861778982"/>
          <c:y val="0.25790341207349082"/>
          <c:w val="0.70685416831257286"/>
          <c:h val="0.69605459317585305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7E72-4AD5-9956-34AE7C0EC15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E72-4AD5-9956-34AE7C0EC15A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E72-4AD5-9956-34AE7C0EC15A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55CB177-BA8E-4C6C-A9DF-9DD3A87BA7C6}" type="CATEGORYNAME">
                      <a:rPr lang="en-US" sz="80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 27%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E72-4AD5-9956-34AE7C0EC15A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tx>
                <c:rich>
                  <a:bodyPr/>
                  <a:lstStyle/>
                  <a:p>
                    <a:fld id="{9B5BF100-2B27-4466-BB85-C06A77BF795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E72-4AD5-9956-34AE7C0EC15A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tx>
                <c:rich>
                  <a:bodyPr/>
                  <a:lstStyle/>
                  <a:p>
                    <a:fld id="{B6C6FC8D-2120-4194-90C4-E084DF22399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E72-4AD5-9956-34AE7C0EC15A}"/>
                </c:ext>
              </c:extLst>
            </c:dLbl>
            <c:dLbl>
              <c:idx val="3"/>
              <c:layout>
                <c:manualLayout>
                  <c:x val="2.2794792791369305E-2"/>
                  <c:y val="-6.9255643044619425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72-4AD5-9956-34AE7C0EC15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Jun!$M$37:$M$40</c:f>
              <c:numCache>
                <c:formatCode>0%</c:formatCode>
                <c:ptCount val="4"/>
                <c:pt idx="0">
                  <c:v>0.22068594522484139</c:v>
                </c:pt>
                <c:pt idx="1">
                  <c:v>0.39872968772600609</c:v>
                </c:pt>
                <c:pt idx="2">
                  <c:v>0.33676257184916791</c:v>
                </c:pt>
                <c:pt idx="3">
                  <c:v>4.3821795199984533E-2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E72-4AD5-9956-34AE7C0EC15A}"/>
            </c:ext>
          </c:extLst>
        </c:ser>
        <c:ser>
          <c:idx val="1"/>
          <c:order val="1"/>
          <c:explosion val="25"/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Jun!$M$39:$M$42</c:f>
              <c:numCache>
                <c:formatCode>0%</c:formatCode>
                <c:ptCount val="4"/>
                <c:pt idx="0">
                  <c:v>0.33676257184916791</c:v>
                </c:pt>
                <c:pt idx="1">
                  <c:v>4.3821795199984533E-2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2-4AD5-9956-34AE7C0EC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0.19676</cdr:x>
      <cdr:y>0</cdr:y>
    </cdr:from>
    <cdr:to>
      <cdr:x>0.90729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0371" y="0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</a:t>
          </a:r>
          <a:r>
            <a:rPr lang="ka-GE" sz="1000" b="0">
              <a:effectLst/>
              <a:latin typeface="+mn-lt"/>
              <a:ea typeface="+mn-ea"/>
              <a:cs typeface="+mn-cs"/>
            </a:rPr>
            <a:t>   </a:t>
          </a:r>
          <a:r>
            <a:rPr lang="ka-GE" sz="900" b="0">
              <a:effectLst/>
              <a:latin typeface="+mn-lt"/>
              <a:ea typeface="+mn-ea"/>
              <a:cs typeface="+mn-cs"/>
            </a:rPr>
            <a:t>სტრუქტურა</a:t>
          </a:r>
          <a:endParaRPr lang="en-US" sz="900" b="0">
            <a:effectLst/>
          </a:endParaRPr>
        </a:p>
        <a:p xmlns:a="http://schemas.openxmlformats.org/drawingml/2006/main"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05E1-57E9-44B3-9FBA-EA84D15D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16</cp:revision>
  <cp:lastPrinted>2019-04-25T08:10:00Z</cp:lastPrinted>
  <dcterms:created xsi:type="dcterms:W3CDTF">2019-07-19T08:11:00Z</dcterms:created>
  <dcterms:modified xsi:type="dcterms:W3CDTF">2019-07-19T12:51:00Z</dcterms:modified>
</cp:coreProperties>
</file>