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296" w:rsidRPr="00E6522E" w:rsidRDefault="00A21683" w:rsidP="0041284B">
      <w:pPr>
        <w:pStyle w:val="NoSpacing"/>
        <w:jc w:val="center"/>
        <w:rPr>
          <w:rFonts w:cstheme="minorHAnsi"/>
          <w:b/>
        </w:rPr>
      </w:pPr>
      <w:r w:rsidRPr="00E6522E">
        <w:rPr>
          <w:rFonts w:cstheme="minorHAnsi"/>
          <w:b/>
        </w:rPr>
        <w:t xml:space="preserve">Medium-term </w:t>
      </w:r>
      <w:r w:rsidR="00993A61" w:rsidRPr="00E6522E">
        <w:rPr>
          <w:rFonts w:cstheme="minorHAnsi"/>
          <w:b/>
        </w:rPr>
        <w:t xml:space="preserve">forecast Reconciliation </w:t>
      </w:r>
    </w:p>
    <w:p w:rsidR="007B6E63" w:rsidRPr="00E6522E" w:rsidRDefault="00A21683" w:rsidP="004B6789">
      <w:pPr>
        <w:pStyle w:val="Heading1"/>
        <w:numPr>
          <w:ilvl w:val="0"/>
          <w:numId w:val="1"/>
        </w:numPr>
        <w:jc w:val="both"/>
        <w:rPr>
          <w:rFonts w:asciiTheme="minorHAnsi" w:hAnsiTheme="minorHAnsi" w:cstheme="minorHAnsi"/>
          <w:b/>
          <w:sz w:val="24"/>
          <w:lang w:val="ka-GE"/>
        </w:rPr>
      </w:pPr>
      <w:r w:rsidRPr="00E6522E">
        <w:rPr>
          <w:rFonts w:asciiTheme="minorHAnsi" w:hAnsiTheme="minorHAnsi" w:cstheme="minorHAnsi"/>
          <w:b/>
          <w:sz w:val="24"/>
          <w:lang w:val="ka-GE"/>
        </w:rPr>
        <w:t>Basic Macroeconomic and Fiscal Indicators</w:t>
      </w:r>
    </w:p>
    <w:p w:rsidR="00D968E5" w:rsidRPr="00E6522E" w:rsidRDefault="00D968E5" w:rsidP="00D968E5">
      <w:pPr>
        <w:pStyle w:val="NoSpacing"/>
        <w:jc w:val="both"/>
        <w:rPr>
          <w:rFonts w:cstheme="minorHAnsi"/>
          <w:lang w:val="ka-GE"/>
        </w:rPr>
      </w:pPr>
    </w:p>
    <w:p w:rsidR="00BD5C50" w:rsidRDefault="00A21683" w:rsidP="00A21683">
      <w:pPr>
        <w:pStyle w:val="NoSpacing"/>
        <w:spacing w:after="240"/>
        <w:jc w:val="both"/>
        <w:rPr>
          <w:rFonts w:cstheme="minorHAnsi"/>
        </w:rPr>
      </w:pPr>
      <w:r w:rsidRPr="00E6522E">
        <w:rPr>
          <w:rFonts w:cstheme="minorHAnsi"/>
          <w:lang w:val="ka-GE"/>
        </w:rPr>
        <w:t xml:space="preserve">The following forecast </w:t>
      </w:r>
      <w:r w:rsidR="004A1163">
        <w:rPr>
          <w:rFonts w:cstheme="minorHAnsi"/>
        </w:rPr>
        <w:t xml:space="preserve">has </w:t>
      </w:r>
      <w:r w:rsidRPr="00E6522E">
        <w:rPr>
          <w:rFonts w:cstheme="minorHAnsi"/>
          <w:lang w:val="ka-GE"/>
        </w:rPr>
        <w:t xml:space="preserve">prepared </w:t>
      </w:r>
      <w:r w:rsidR="00590EB8" w:rsidRPr="00E6522E">
        <w:rPr>
          <w:rFonts w:cstheme="minorHAnsi"/>
        </w:rPr>
        <w:t xml:space="preserve">as </w:t>
      </w:r>
      <w:r w:rsidR="004A1163">
        <w:rPr>
          <w:rFonts w:cstheme="minorHAnsi"/>
        </w:rPr>
        <w:t xml:space="preserve">a </w:t>
      </w:r>
      <w:r w:rsidR="00590EB8" w:rsidRPr="00E6522E">
        <w:rPr>
          <w:rFonts w:cstheme="minorHAnsi"/>
        </w:rPr>
        <w:t xml:space="preserve">part of </w:t>
      </w:r>
      <w:r w:rsidRPr="00E6522E">
        <w:rPr>
          <w:rFonts w:cstheme="minorHAnsi"/>
          <w:lang w:val="ka-GE"/>
        </w:rPr>
        <w:t>2020 budget</w:t>
      </w:r>
      <w:r w:rsidR="00BD5C50">
        <w:rPr>
          <w:rFonts w:cstheme="minorHAnsi"/>
        </w:rPr>
        <w:t xml:space="preserve"> project</w:t>
      </w:r>
      <w:r w:rsidR="004A1163">
        <w:rPr>
          <w:rFonts w:cstheme="minorHAnsi"/>
        </w:rPr>
        <w:t xml:space="preserve"> and it</w:t>
      </w:r>
      <w:r w:rsidR="00BD5C50">
        <w:rPr>
          <w:rFonts w:cstheme="minorHAnsi"/>
        </w:rPr>
        <w:t xml:space="preserve"> is</w:t>
      </w:r>
      <w:r w:rsidRPr="00E6522E">
        <w:rPr>
          <w:rFonts w:cstheme="minorHAnsi"/>
          <w:lang w:val="ka-GE"/>
        </w:rPr>
        <w:t xml:space="preserve"> an updated version of the</w:t>
      </w:r>
      <w:r w:rsidRPr="00E6522E">
        <w:rPr>
          <w:rFonts w:cstheme="minorHAnsi"/>
        </w:rPr>
        <w:t xml:space="preserve"> forecast</w:t>
      </w:r>
      <w:r w:rsidR="00BD5C50">
        <w:rPr>
          <w:rFonts w:cstheme="minorHAnsi"/>
        </w:rPr>
        <w:t xml:space="preserve">s attached on the 2019 budget </w:t>
      </w:r>
      <w:r w:rsidR="004A1163">
        <w:rPr>
          <w:rFonts w:cstheme="minorHAnsi"/>
        </w:rPr>
        <w:t xml:space="preserve">low </w:t>
      </w:r>
      <w:r w:rsidR="00BD5C50">
        <w:rPr>
          <w:rFonts w:cstheme="minorHAnsi"/>
        </w:rPr>
        <w:t xml:space="preserve">and 2020-2023 Basic Data and Directions </w:t>
      </w:r>
      <w:r w:rsidR="004A1163">
        <w:rPr>
          <w:rFonts w:cstheme="minorHAnsi"/>
        </w:rPr>
        <w:t xml:space="preserve">(BDD) </w:t>
      </w:r>
      <w:r w:rsidR="00BD5C50">
        <w:rPr>
          <w:rFonts w:cstheme="minorHAnsi"/>
        </w:rPr>
        <w:t>document.</w:t>
      </w:r>
    </w:p>
    <w:p w:rsidR="00993A61" w:rsidRPr="00E6522E" w:rsidRDefault="00A21683">
      <w:pPr>
        <w:pStyle w:val="NoSpacing"/>
        <w:jc w:val="both"/>
        <w:rPr>
          <w:rFonts w:cstheme="minorHAnsi"/>
        </w:rPr>
      </w:pPr>
      <w:r w:rsidRPr="00E6522E">
        <w:rPr>
          <w:rFonts w:cstheme="minorHAnsi"/>
          <w:lang w:val="ka-GE"/>
        </w:rPr>
        <w:t xml:space="preserve">The updated </w:t>
      </w:r>
      <w:r w:rsidRPr="00E6522E">
        <w:rPr>
          <w:rFonts w:cstheme="minorHAnsi"/>
        </w:rPr>
        <w:t>f</w:t>
      </w:r>
      <w:r w:rsidRPr="00E6522E">
        <w:rPr>
          <w:rFonts w:cstheme="minorHAnsi"/>
          <w:lang w:val="ka-GE"/>
        </w:rPr>
        <w:t>orecast is compared to the tables attached to</w:t>
      </w:r>
      <w:r w:rsidRPr="00E6522E">
        <w:rPr>
          <w:rFonts w:cstheme="minorHAnsi"/>
        </w:rPr>
        <w:t xml:space="preserve"> the</w:t>
      </w:r>
      <w:r w:rsidRPr="00E6522E">
        <w:rPr>
          <w:rFonts w:cstheme="minorHAnsi"/>
          <w:lang w:val="ka-GE"/>
        </w:rPr>
        <w:t xml:space="preserve"> last year's budget law. </w:t>
      </w:r>
      <w:r w:rsidR="004A1163">
        <w:rPr>
          <w:rFonts w:cstheme="minorHAnsi"/>
        </w:rPr>
        <w:t xml:space="preserve">Several factors contributed in the change of </w:t>
      </w:r>
      <w:r w:rsidR="00A17B8A">
        <w:rPr>
          <w:rFonts w:cstheme="minorHAnsi"/>
        </w:rPr>
        <w:t xml:space="preserve">forecasts. One of the most important was to observe </w:t>
      </w:r>
      <w:r w:rsidR="008342A1" w:rsidRPr="00E6522E">
        <w:rPr>
          <w:rFonts w:cstheme="minorHAnsi"/>
        </w:rPr>
        <w:t xml:space="preserve">actual figures in the model for the last year instead of </w:t>
      </w:r>
      <w:r w:rsidR="00A17B8A">
        <w:rPr>
          <w:rFonts w:cstheme="minorHAnsi"/>
        </w:rPr>
        <w:t>estimations and it</w:t>
      </w:r>
      <w:r w:rsidR="008342A1" w:rsidRPr="00E6522E">
        <w:rPr>
          <w:rFonts w:cstheme="minorHAnsi"/>
        </w:rPr>
        <w:t xml:space="preserve"> has an impact on the entire medium-term</w:t>
      </w:r>
      <w:r w:rsidRPr="00E6522E">
        <w:rPr>
          <w:rFonts w:cstheme="minorHAnsi"/>
        </w:rPr>
        <w:t xml:space="preserve"> </w:t>
      </w:r>
      <w:r w:rsidR="008342A1" w:rsidRPr="00E6522E">
        <w:rPr>
          <w:rFonts w:cstheme="minorHAnsi"/>
        </w:rPr>
        <w:t xml:space="preserve">period. </w:t>
      </w:r>
      <w:r w:rsidR="00A17B8A">
        <w:rPr>
          <w:rFonts w:cstheme="minorHAnsi"/>
        </w:rPr>
        <w:t>Difference between the forecasts of previous period and actual figures is</w:t>
      </w:r>
      <w:r w:rsidR="00B704B2">
        <w:rPr>
          <w:rFonts w:cstheme="minorHAnsi"/>
        </w:rPr>
        <w:t xml:space="preserve"> mostly contributed by</w:t>
      </w:r>
      <w:r w:rsidR="00A17B8A">
        <w:rPr>
          <w:rFonts w:cstheme="minorHAnsi"/>
        </w:rPr>
        <w:t xml:space="preserve"> </w:t>
      </w:r>
      <w:r w:rsidR="00610C57">
        <w:rPr>
          <w:rFonts w:cstheme="minorHAnsi"/>
        </w:rPr>
        <w:t>introducing</w:t>
      </w:r>
      <w:r w:rsidRPr="00E6522E">
        <w:rPr>
          <w:rFonts w:cstheme="minorHAnsi"/>
          <w:lang w:val="ka-GE"/>
        </w:rPr>
        <w:t xml:space="preserve"> of a new methodology of the National Accounts System (SNA 2008)</w:t>
      </w:r>
      <w:r w:rsidRPr="00E6522E">
        <w:rPr>
          <w:rFonts w:cstheme="minorHAnsi"/>
        </w:rPr>
        <w:t xml:space="preserve">, </w:t>
      </w:r>
      <w:r w:rsidRPr="00E6522E">
        <w:rPr>
          <w:rFonts w:cstheme="minorHAnsi"/>
          <w:lang w:val="ka-GE"/>
        </w:rPr>
        <w:t xml:space="preserve">which </w:t>
      </w:r>
      <w:r w:rsidR="00EA6918" w:rsidRPr="00E6522E">
        <w:rPr>
          <w:rFonts w:cstheme="minorHAnsi"/>
        </w:rPr>
        <w:t>caused re</w:t>
      </w:r>
      <w:r w:rsidRPr="00E6522E">
        <w:rPr>
          <w:rFonts w:cstheme="minorHAnsi"/>
          <w:lang w:val="ka-GE"/>
        </w:rPr>
        <w:t>calculation of GDP data</w:t>
      </w:r>
      <w:r w:rsidR="00EA6918" w:rsidRPr="00E6522E">
        <w:rPr>
          <w:rFonts w:cstheme="minorHAnsi"/>
        </w:rPr>
        <w:t xml:space="preserve"> for the past years and respectively caused increase of</w:t>
      </w:r>
      <w:r w:rsidRPr="00E6522E">
        <w:rPr>
          <w:rFonts w:cstheme="minorHAnsi"/>
          <w:lang w:val="ka-GE"/>
        </w:rPr>
        <w:t xml:space="preserve"> forecast values. </w:t>
      </w:r>
      <w:r w:rsidR="00EA6918" w:rsidRPr="00E6522E">
        <w:rPr>
          <w:rFonts w:cstheme="minorHAnsi"/>
          <w:lang w:val="ka-GE"/>
        </w:rPr>
        <w:t xml:space="preserve">Based on an analysis of current trends </w:t>
      </w:r>
      <w:r w:rsidR="00EA6918" w:rsidRPr="00E6522E">
        <w:rPr>
          <w:rFonts w:cstheme="minorHAnsi"/>
        </w:rPr>
        <w:t xml:space="preserve">and the </w:t>
      </w:r>
      <w:r w:rsidR="00EA6918" w:rsidRPr="00E6522E">
        <w:rPr>
          <w:rFonts w:cstheme="minorHAnsi"/>
          <w:lang w:val="ka-GE"/>
        </w:rPr>
        <w:t>consultations with various international organizations and IMF mission</w:t>
      </w:r>
      <w:r w:rsidR="00B704B2">
        <w:rPr>
          <w:rFonts w:cstheme="minorHAnsi"/>
        </w:rPr>
        <w:t>,</w:t>
      </w:r>
      <w:r w:rsidR="00EA6918" w:rsidRPr="00E6522E">
        <w:rPr>
          <w:rFonts w:cstheme="minorHAnsi"/>
        </w:rPr>
        <w:t xml:space="preserve"> some </w:t>
      </w:r>
      <w:r w:rsidRPr="00E6522E">
        <w:rPr>
          <w:rFonts w:cstheme="minorHAnsi"/>
          <w:lang w:val="ka-GE"/>
        </w:rPr>
        <w:t>key assumptions w</w:t>
      </w:r>
      <w:r w:rsidR="00EA6918" w:rsidRPr="00E6522E">
        <w:rPr>
          <w:rFonts w:cstheme="minorHAnsi"/>
        </w:rPr>
        <w:t xml:space="preserve">ere also revised. </w:t>
      </w:r>
    </w:p>
    <w:p w:rsidR="00EA6918" w:rsidRPr="00E6522E" w:rsidRDefault="00EA6918" w:rsidP="00A21683">
      <w:pPr>
        <w:pStyle w:val="NoSpacing"/>
        <w:jc w:val="both"/>
        <w:rPr>
          <w:rFonts w:cstheme="minorHAnsi"/>
          <w:lang w:val="ka-GE"/>
        </w:rPr>
      </w:pPr>
    </w:p>
    <w:tbl>
      <w:tblPr>
        <w:tblW w:w="5000" w:type="pct"/>
        <w:tblLook w:val="04A0" w:firstRow="1" w:lastRow="0" w:firstColumn="1" w:lastColumn="0" w:noHBand="0" w:noVBand="1"/>
      </w:tblPr>
      <w:tblGrid>
        <w:gridCol w:w="4961"/>
        <w:gridCol w:w="820"/>
        <w:gridCol w:w="963"/>
        <w:gridCol w:w="955"/>
        <w:gridCol w:w="955"/>
        <w:gridCol w:w="953"/>
      </w:tblGrid>
      <w:tr w:rsidR="00A21683" w:rsidRPr="00E6522E" w:rsidTr="00993A61">
        <w:trPr>
          <w:trHeight w:val="113"/>
        </w:trPr>
        <w:tc>
          <w:tcPr>
            <w:tcW w:w="2582" w:type="pct"/>
            <w:tcBorders>
              <w:top w:val="single" w:sz="4" w:space="0" w:color="auto"/>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rPr>
            </w:pPr>
            <w:r w:rsidRPr="00E6522E">
              <w:rPr>
                <w:rFonts w:eastAsia="Times New Roman" w:cstheme="minorHAnsi"/>
                <w:b/>
                <w:bCs/>
                <w:color w:val="000000"/>
                <w:sz w:val="20"/>
                <w:szCs w:val="20"/>
              </w:rPr>
              <w:t xml:space="preserve">Table </w:t>
            </w:r>
            <w:r w:rsidRPr="00E6522E">
              <w:rPr>
                <w:rFonts w:eastAsia="Times New Roman" w:cstheme="minorHAnsi"/>
                <w:b/>
                <w:bCs/>
                <w:color w:val="000000"/>
              </w:rPr>
              <w:t>1. Basic Expectations and Assumptions</w:t>
            </w:r>
          </w:p>
        </w:tc>
        <w:tc>
          <w:tcPr>
            <w:tcW w:w="427" w:type="pct"/>
            <w:tcBorders>
              <w:top w:val="single" w:sz="4" w:space="0" w:color="auto"/>
              <w:left w:val="nil"/>
              <w:bottom w:val="nil"/>
              <w:right w:val="nil"/>
            </w:tcBorders>
            <w:shd w:val="clear" w:color="auto" w:fill="auto"/>
            <w:noWrap/>
            <w:vAlign w:val="bottom"/>
            <w:hideMark/>
          </w:tcPr>
          <w:p w:rsidR="00A21683" w:rsidRPr="00E6522E" w:rsidRDefault="00A21683" w:rsidP="00A21683">
            <w:pPr>
              <w:spacing w:after="0" w:line="240" w:lineRule="auto"/>
              <w:jc w:val="center"/>
              <w:rPr>
                <w:rFonts w:eastAsia="Times New Roman" w:cstheme="minorHAnsi"/>
                <w:b/>
                <w:color w:val="000000"/>
                <w:sz w:val="20"/>
                <w:szCs w:val="20"/>
              </w:rPr>
            </w:pPr>
          </w:p>
        </w:tc>
        <w:tc>
          <w:tcPr>
            <w:tcW w:w="501" w:type="pct"/>
            <w:tcBorders>
              <w:top w:val="single" w:sz="4" w:space="0" w:color="auto"/>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center"/>
              <w:rPr>
                <w:rFonts w:eastAsia="Times New Roman" w:cstheme="minorHAnsi"/>
                <w:b/>
                <w:color w:val="000000"/>
                <w:sz w:val="20"/>
                <w:szCs w:val="20"/>
              </w:rPr>
            </w:pPr>
          </w:p>
        </w:tc>
        <w:tc>
          <w:tcPr>
            <w:tcW w:w="497" w:type="pct"/>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center"/>
              <w:rPr>
                <w:rFonts w:eastAsia="Times New Roman" w:cstheme="minorHAnsi"/>
                <w:b/>
                <w:color w:val="000000"/>
                <w:sz w:val="20"/>
                <w:szCs w:val="20"/>
              </w:rPr>
            </w:pPr>
          </w:p>
        </w:tc>
        <w:tc>
          <w:tcPr>
            <w:tcW w:w="497" w:type="pct"/>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center"/>
              <w:rPr>
                <w:rFonts w:eastAsia="Times New Roman" w:cstheme="minorHAnsi"/>
                <w:b/>
                <w:color w:val="000000"/>
                <w:sz w:val="20"/>
                <w:szCs w:val="20"/>
              </w:rPr>
            </w:pPr>
          </w:p>
        </w:tc>
        <w:tc>
          <w:tcPr>
            <w:tcW w:w="496" w:type="pct"/>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center"/>
              <w:rPr>
                <w:rFonts w:eastAsia="Times New Roman" w:cstheme="minorHAnsi"/>
                <w:b/>
                <w:color w:val="000000"/>
                <w:sz w:val="20"/>
                <w:szCs w:val="20"/>
              </w:rPr>
            </w:pPr>
          </w:p>
        </w:tc>
      </w:tr>
      <w:tr w:rsidR="00A21683" w:rsidRPr="00E6522E" w:rsidTr="00993A61">
        <w:trPr>
          <w:trHeight w:val="113"/>
        </w:trPr>
        <w:tc>
          <w:tcPr>
            <w:tcW w:w="2582" w:type="pct"/>
            <w:tcBorders>
              <w:top w:val="nil"/>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color w:val="000000"/>
                <w:sz w:val="20"/>
                <w:szCs w:val="20"/>
              </w:rPr>
            </w:pPr>
            <w:r w:rsidRPr="00E6522E">
              <w:rPr>
                <w:rFonts w:eastAsia="Times New Roman" w:cstheme="minorHAnsi"/>
                <w:color w:val="000000"/>
                <w:sz w:val="20"/>
                <w:szCs w:val="20"/>
              </w:rPr>
              <w:t> </w:t>
            </w:r>
          </w:p>
        </w:tc>
        <w:tc>
          <w:tcPr>
            <w:tcW w:w="427" w:type="pct"/>
            <w:tcBorders>
              <w:top w:val="nil"/>
              <w:left w:val="nil"/>
              <w:bottom w:val="single" w:sz="4"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color w:val="000000"/>
                <w:sz w:val="20"/>
                <w:szCs w:val="20"/>
              </w:rPr>
            </w:pPr>
            <w:r w:rsidRPr="00E6522E">
              <w:rPr>
                <w:rFonts w:eastAsia="Times New Roman" w:cstheme="minorHAnsi"/>
                <w:b/>
                <w:color w:val="000000"/>
                <w:sz w:val="20"/>
                <w:szCs w:val="20"/>
              </w:rPr>
              <w:t>2018</w:t>
            </w:r>
          </w:p>
        </w:tc>
        <w:tc>
          <w:tcPr>
            <w:tcW w:w="501" w:type="pct"/>
            <w:tcBorders>
              <w:top w:val="nil"/>
              <w:left w:val="double" w:sz="6" w:space="0" w:color="auto"/>
              <w:bottom w:val="single" w:sz="4"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color w:val="000000"/>
                <w:sz w:val="20"/>
                <w:szCs w:val="20"/>
              </w:rPr>
            </w:pPr>
            <w:r w:rsidRPr="00E6522E">
              <w:rPr>
                <w:rFonts w:eastAsia="Times New Roman" w:cstheme="minorHAnsi"/>
                <w:b/>
                <w:color w:val="000000"/>
                <w:sz w:val="20"/>
                <w:szCs w:val="20"/>
              </w:rPr>
              <w:t>2019</w:t>
            </w:r>
          </w:p>
        </w:tc>
        <w:tc>
          <w:tcPr>
            <w:tcW w:w="49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color w:val="000000"/>
                <w:sz w:val="20"/>
                <w:szCs w:val="20"/>
              </w:rPr>
            </w:pPr>
            <w:r w:rsidRPr="00E6522E">
              <w:rPr>
                <w:rFonts w:eastAsia="Times New Roman" w:cstheme="minorHAnsi"/>
                <w:b/>
                <w:color w:val="000000"/>
                <w:sz w:val="20"/>
                <w:szCs w:val="20"/>
              </w:rPr>
              <w:t>2020</w:t>
            </w:r>
          </w:p>
        </w:tc>
        <w:tc>
          <w:tcPr>
            <w:tcW w:w="49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color w:val="000000"/>
                <w:sz w:val="20"/>
                <w:szCs w:val="20"/>
              </w:rPr>
            </w:pPr>
            <w:r w:rsidRPr="00E6522E">
              <w:rPr>
                <w:rFonts w:eastAsia="Times New Roman" w:cstheme="minorHAnsi"/>
                <w:b/>
                <w:color w:val="000000"/>
                <w:sz w:val="20"/>
                <w:szCs w:val="20"/>
              </w:rPr>
              <w:t>2021</w:t>
            </w:r>
          </w:p>
        </w:tc>
        <w:tc>
          <w:tcPr>
            <w:tcW w:w="496"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color w:val="000000"/>
                <w:sz w:val="20"/>
                <w:szCs w:val="20"/>
              </w:rPr>
            </w:pPr>
            <w:r w:rsidRPr="00E6522E">
              <w:rPr>
                <w:rFonts w:eastAsia="Times New Roman" w:cstheme="minorHAnsi"/>
                <w:b/>
                <w:color w:val="000000"/>
                <w:sz w:val="20"/>
                <w:szCs w:val="20"/>
              </w:rPr>
              <w:t>2022</w:t>
            </w:r>
          </w:p>
        </w:tc>
      </w:tr>
      <w:tr w:rsidR="004061D7" w:rsidRPr="00E6522E" w:rsidTr="00993A61">
        <w:trPr>
          <w:trHeight w:val="113"/>
        </w:trPr>
        <w:tc>
          <w:tcPr>
            <w:tcW w:w="2582" w:type="pct"/>
            <w:tcBorders>
              <w:top w:val="nil"/>
              <w:left w:val="single" w:sz="4" w:space="0" w:color="auto"/>
              <w:bottom w:val="nil"/>
              <w:right w:val="single" w:sz="4" w:space="0" w:color="auto"/>
            </w:tcBorders>
            <w:shd w:val="clear" w:color="auto" w:fill="auto"/>
            <w:noWrap/>
            <w:vAlign w:val="bottom"/>
            <w:hideMark/>
          </w:tcPr>
          <w:p w:rsidR="004061D7" w:rsidRPr="00E6522E" w:rsidRDefault="004061D7" w:rsidP="004061D7">
            <w:pPr>
              <w:spacing w:after="0" w:line="240" w:lineRule="auto"/>
              <w:rPr>
                <w:rFonts w:eastAsia="Times New Roman" w:cstheme="minorHAnsi"/>
                <w:color w:val="000000"/>
                <w:sz w:val="20"/>
                <w:szCs w:val="20"/>
              </w:rPr>
            </w:pPr>
            <w:r w:rsidRPr="00E6522E">
              <w:rPr>
                <w:rFonts w:eastAsia="Times New Roman" w:cstheme="minorHAnsi"/>
                <w:color w:val="000000"/>
                <w:sz w:val="20"/>
                <w:szCs w:val="20"/>
              </w:rPr>
              <w:t> </w:t>
            </w:r>
          </w:p>
        </w:tc>
        <w:tc>
          <w:tcPr>
            <w:tcW w:w="427" w:type="pct"/>
            <w:tcBorders>
              <w:top w:val="nil"/>
              <w:left w:val="nil"/>
              <w:bottom w:val="nil"/>
              <w:right w:val="nil"/>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rPr>
            </w:pPr>
            <w:r w:rsidRPr="00E6522E">
              <w:rPr>
                <w:rFonts w:eastAsia="Times New Roman" w:cstheme="minorHAnsi"/>
                <w:color w:val="000000"/>
                <w:sz w:val="20"/>
                <w:szCs w:val="20"/>
              </w:rPr>
              <w:t>Actual</w:t>
            </w:r>
          </w:p>
        </w:tc>
        <w:tc>
          <w:tcPr>
            <w:tcW w:w="501" w:type="pct"/>
            <w:tcBorders>
              <w:top w:val="single" w:sz="4" w:space="0" w:color="auto"/>
              <w:left w:val="double" w:sz="6" w:space="0" w:color="auto"/>
              <w:bottom w:val="nil"/>
              <w:right w:val="double" w:sz="6" w:space="0" w:color="auto"/>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rPr>
            </w:pPr>
            <w:r w:rsidRPr="00E6522E">
              <w:rPr>
                <w:rFonts w:eastAsia="Times New Roman" w:cstheme="minorHAnsi"/>
                <w:color w:val="000000"/>
                <w:sz w:val="20"/>
                <w:szCs w:val="20"/>
              </w:rPr>
              <w:t>Expected</w:t>
            </w:r>
          </w:p>
        </w:tc>
        <w:tc>
          <w:tcPr>
            <w:tcW w:w="497" w:type="pct"/>
            <w:tcBorders>
              <w:top w:val="nil"/>
              <w:left w:val="nil"/>
              <w:bottom w:val="nil"/>
              <w:right w:val="single" w:sz="4" w:space="0" w:color="auto"/>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Forecast</w:t>
            </w:r>
          </w:p>
        </w:tc>
        <w:tc>
          <w:tcPr>
            <w:tcW w:w="497" w:type="pct"/>
            <w:tcBorders>
              <w:top w:val="nil"/>
              <w:left w:val="nil"/>
              <w:bottom w:val="nil"/>
              <w:right w:val="single" w:sz="4" w:space="0" w:color="auto"/>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Forecast</w:t>
            </w:r>
          </w:p>
        </w:tc>
        <w:tc>
          <w:tcPr>
            <w:tcW w:w="496" w:type="pct"/>
            <w:tcBorders>
              <w:top w:val="nil"/>
              <w:left w:val="nil"/>
              <w:bottom w:val="nil"/>
              <w:right w:val="single" w:sz="4" w:space="0" w:color="auto"/>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Forecast</w:t>
            </w:r>
          </w:p>
        </w:tc>
      </w:tr>
      <w:tr w:rsidR="00A21683" w:rsidRPr="00E6522E" w:rsidTr="00993A61">
        <w:trPr>
          <w:trHeight w:val="113"/>
        </w:trPr>
        <w:tc>
          <w:tcPr>
            <w:tcW w:w="2582" w:type="pct"/>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200"/>
              <w:rPr>
                <w:rFonts w:eastAsia="Times New Roman" w:cstheme="minorHAnsi"/>
                <w:color w:val="000000"/>
              </w:rPr>
            </w:pPr>
            <w:r w:rsidRPr="00E6522E">
              <w:rPr>
                <w:rFonts w:eastAsia="Times New Roman" w:cstheme="minorHAnsi"/>
                <w:color w:val="000000"/>
                <w:sz w:val="20"/>
                <w:szCs w:val="20"/>
              </w:rPr>
              <w:t>Growth of Real GDP,</w:t>
            </w:r>
            <w:r w:rsidRPr="00E6522E">
              <w:rPr>
                <w:rFonts w:eastAsia="Times New Roman" w:cstheme="minorHAnsi"/>
                <w:color w:val="000000"/>
              </w:rPr>
              <w:t xml:space="preserve"> %</w:t>
            </w:r>
          </w:p>
        </w:tc>
        <w:tc>
          <w:tcPr>
            <w:tcW w:w="427"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 </w:t>
            </w:r>
          </w:p>
        </w:tc>
        <w:tc>
          <w:tcPr>
            <w:tcW w:w="501"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 </w:t>
            </w:r>
          </w:p>
        </w:tc>
        <w:tc>
          <w:tcPr>
            <w:tcW w:w="49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 </w:t>
            </w:r>
          </w:p>
        </w:tc>
        <w:tc>
          <w:tcPr>
            <w:tcW w:w="49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 </w:t>
            </w:r>
          </w:p>
        </w:tc>
        <w:tc>
          <w:tcPr>
            <w:tcW w:w="496"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 </w:t>
            </w:r>
          </w:p>
        </w:tc>
      </w:tr>
      <w:tr w:rsidR="00A21683" w:rsidRPr="00E6522E" w:rsidTr="00993A61">
        <w:trPr>
          <w:trHeight w:val="113"/>
        </w:trPr>
        <w:tc>
          <w:tcPr>
            <w:tcW w:w="2582" w:type="pct"/>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200"/>
              <w:rPr>
                <w:rFonts w:eastAsia="Times New Roman" w:cstheme="minorHAnsi"/>
                <w:color w:val="000000"/>
                <w:sz w:val="20"/>
                <w:szCs w:val="20"/>
              </w:rPr>
            </w:pPr>
            <w:r w:rsidRPr="00E6522E">
              <w:rPr>
                <w:rFonts w:eastAsia="Times New Roman" w:cstheme="minorHAnsi"/>
                <w:color w:val="000000"/>
                <w:sz w:val="20"/>
                <w:szCs w:val="20"/>
              </w:rPr>
              <w:t>Previous Forecast</w:t>
            </w:r>
          </w:p>
        </w:tc>
        <w:tc>
          <w:tcPr>
            <w:tcW w:w="427"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5.0%</w:t>
            </w:r>
          </w:p>
        </w:tc>
        <w:tc>
          <w:tcPr>
            <w:tcW w:w="501"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4.5%</w:t>
            </w:r>
          </w:p>
        </w:tc>
        <w:tc>
          <w:tcPr>
            <w:tcW w:w="49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5.0%</w:t>
            </w:r>
          </w:p>
        </w:tc>
        <w:tc>
          <w:tcPr>
            <w:tcW w:w="49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5.5%</w:t>
            </w:r>
          </w:p>
        </w:tc>
        <w:tc>
          <w:tcPr>
            <w:tcW w:w="496"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6.0%</w:t>
            </w:r>
          </w:p>
        </w:tc>
      </w:tr>
      <w:tr w:rsidR="00A21683" w:rsidRPr="00E6522E" w:rsidTr="00993A61">
        <w:trPr>
          <w:trHeight w:val="113"/>
        </w:trPr>
        <w:tc>
          <w:tcPr>
            <w:tcW w:w="2582" w:type="pct"/>
            <w:tcBorders>
              <w:top w:val="nil"/>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200"/>
              <w:rPr>
                <w:rFonts w:eastAsia="Times New Roman" w:cstheme="minorHAnsi"/>
                <w:color w:val="000000"/>
              </w:rPr>
            </w:pPr>
            <w:r w:rsidRPr="00E6522E">
              <w:rPr>
                <w:rFonts w:eastAsia="Times New Roman" w:cstheme="minorHAnsi"/>
                <w:color w:val="000000"/>
                <w:sz w:val="20"/>
                <w:szCs w:val="20"/>
              </w:rPr>
              <w:t>Updated Forecast</w:t>
            </w:r>
          </w:p>
        </w:tc>
        <w:tc>
          <w:tcPr>
            <w:tcW w:w="427" w:type="pct"/>
            <w:tcBorders>
              <w:top w:val="nil"/>
              <w:left w:val="nil"/>
              <w:bottom w:val="single" w:sz="4"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4.8%</w:t>
            </w:r>
          </w:p>
        </w:tc>
        <w:tc>
          <w:tcPr>
            <w:tcW w:w="501" w:type="pct"/>
            <w:tcBorders>
              <w:top w:val="nil"/>
              <w:left w:val="double" w:sz="6" w:space="0" w:color="auto"/>
              <w:bottom w:val="single" w:sz="4"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4.8%</w:t>
            </w:r>
          </w:p>
        </w:tc>
        <w:tc>
          <w:tcPr>
            <w:tcW w:w="49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4.5%</w:t>
            </w:r>
          </w:p>
        </w:tc>
        <w:tc>
          <w:tcPr>
            <w:tcW w:w="49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5.0%</w:t>
            </w:r>
          </w:p>
        </w:tc>
        <w:tc>
          <w:tcPr>
            <w:tcW w:w="496"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5.0%</w:t>
            </w:r>
          </w:p>
        </w:tc>
      </w:tr>
      <w:tr w:rsidR="00A21683" w:rsidRPr="00E6522E" w:rsidTr="00993A61">
        <w:trPr>
          <w:trHeight w:val="113"/>
        </w:trPr>
        <w:tc>
          <w:tcPr>
            <w:tcW w:w="2582" w:type="pct"/>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color w:val="000000"/>
                <w:sz w:val="20"/>
                <w:szCs w:val="20"/>
              </w:rPr>
            </w:pPr>
            <w:r w:rsidRPr="00E6522E">
              <w:rPr>
                <w:rFonts w:eastAsia="Times New Roman" w:cstheme="minorHAnsi"/>
                <w:color w:val="000000"/>
                <w:sz w:val="20"/>
                <w:szCs w:val="20"/>
              </w:rPr>
              <w:t>Difference</w:t>
            </w:r>
          </w:p>
        </w:tc>
        <w:tc>
          <w:tcPr>
            <w:tcW w:w="427"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rPr>
            </w:pPr>
            <w:r w:rsidRPr="00E6522E">
              <w:rPr>
                <w:rFonts w:eastAsia="Times New Roman" w:cstheme="minorHAnsi"/>
                <w:color w:val="000000"/>
                <w:sz w:val="20"/>
                <w:szCs w:val="20"/>
              </w:rPr>
              <w:t>-0.</w:t>
            </w:r>
            <w:r w:rsidRPr="00E6522E">
              <w:rPr>
                <w:rFonts w:eastAsia="Times New Roman" w:cstheme="minorHAnsi"/>
                <w:color w:val="000000"/>
              </w:rPr>
              <w:t>2%</w:t>
            </w:r>
          </w:p>
        </w:tc>
        <w:tc>
          <w:tcPr>
            <w:tcW w:w="501" w:type="pct"/>
            <w:tcBorders>
              <w:top w:val="single" w:sz="4" w:space="0" w:color="auto"/>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rPr>
            </w:pPr>
            <w:r w:rsidRPr="00E6522E">
              <w:rPr>
                <w:rFonts w:eastAsia="Times New Roman" w:cstheme="minorHAnsi"/>
                <w:color w:val="000000"/>
                <w:sz w:val="20"/>
                <w:szCs w:val="20"/>
              </w:rPr>
              <w:t>0.</w:t>
            </w:r>
            <w:r w:rsidRPr="00E6522E">
              <w:rPr>
                <w:rFonts w:eastAsia="Times New Roman" w:cstheme="minorHAnsi"/>
                <w:color w:val="000000"/>
              </w:rPr>
              <w:t>3%</w:t>
            </w:r>
          </w:p>
        </w:tc>
        <w:tc>
          <w:tcPr>
            <w:tcW w:w="49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rPr>
            </w:pPr>
            <w:r w:rsidRPr="00E6522E">
              <w:rPr>
                <w:rFonts w:eastAsia="Times New Roman" w:cstheme="minorHAnsi"/>
                <w:color w:val="000000"/>
                <w:sz w:val="20"/>
                <w:szCs w:val="20"/>
              </w:rPr>
              <w:t>-0.</w:t>
            </w:r>
            <w:r w:rsidRPr="00E6522E">
              <w:rPr>
                <w:rFonts w:eastAsia="Times New Roman" w:cstheme="minorHAnsi"/>
                <w:color w:val="000000"/>
              </w:rPr>
              <w:t>5%</w:t>
            </w:r>
          </w:p>
        </w:tc>
        <w:tc>
          <w:tcPr>
            <w:tcW w:w="49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rPr>
            </w:pPr>
            <w:r w:rsidRPr="00E6522E">
              <w:rPr>
                <w:rFonts w:eastAsia="Times New Roman" w:cstheme="minorHAnsi"/>
                <w:color w:val="000000"/>
                <w:sz w:val="20"/>
                <w:szCs w:val="20"/>
              </w:rPr>
              <w:t>-0.</w:t>
            </w:r>
            <w:r w:rsidRPr="00E6522E">
              <w:rPr>
                <w:rFonts w:eastAsia="Times New Roman" w:cstheme="minorHAnsi"/>
                <w:color w:val="000000"/>
              </w:rPr>
              <w:t>5%</w:t>
            </w:r>
          </w:p>
        </w:tc>
        <w:tc>
          <w:tcPr>
            <w:tcW w:w="496"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rPr>
            </w:pPr>
            <w:r w:rsidRPr="00E6522E">
              <w:rPr>
                <w:rFonts w:eastAsia="Times New Roman" w:cstheme="minorHAnsi"/>
                <w:color w:val="000000"/>
                <w:sz w:val="20"/>
                <w:szCs w:val="20"/>
              </w:rPr>
              <w:t>-1.</w:t>
            </w:r>
            <w:r w:rsidRPr="00E6522E">
              <w:rPr>
                <w:rFonts w:eastAsia="Times New Roman" w:cstheme="minorHAnsi"/>
                <w:color w:val="000000"/>
              </w:rPr>
              <w:t>0%</w:t>
            </w:r>
          </w:p>
        </w:tc>
      </w:tr>
      <w:tr w:rsidR="00A21683" w:rsidRPr="00E6522E" w:rsidTr="00993A61">
        <w:trPr>
          <w:trHeight w:val="113"/>
        </w:trPr>
        <w:tc>
          <w:tcPr>
            <w:tcW w:w="2582" w:type="pct"/>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200"/>
              <w:rPr>
                <w:rFonts w:eastAsia="Times New Roman" w:cstheme="minorHAnsi"/>
                <w:color w:val="000000"/>
              </w:rPr>
            </w:pPr>
            <w:r w:rsidRPr="00E6522E">
              <w:rPr>
                <w:rFonts w:eastAsia="Times New Roman" w:cstheme="minorHAnsi"/>
                <w:color w:val="000000"/>
                <w:sz w:val="20"/>
                <w:szCs w:val="20"/>
              </w:rPr>
              <w:t>Percentage Change of GDP Deflator</w:t>
            </w:r>
          </w:p>
        </w:tc>
        <w:tc>
          <w:tcPr>
            <w:tcW w:w="427"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 </w:t>
            </w:r>
          </w:p>
        </w:tc>
        <w:tc>
          <w:tcPr>
            <w:tcW w:w="501"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 </w:t>
            </w:r>
          </w:p>
        </w:tc>
        <w:tc>
          <w:tcPr>
            <w:tcW w:w="49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 </w:t>
            </w:r>
          </w:p>
        </w:tc>
        <w:tc>
          <w:tcPr>
            <w:tcW w:w="49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 </w:t>
            </w:r>
          </w:p>
        </w:tc>
        <w:tc>
          <w:tcPr>
            <w:tcW w:w="496"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 </w:t>
            </w:r>
          </w:p>
        </w:tc>
      </w:tr>
      <w:tr w:rsidR="00A21683" w:rsidRPr="00E6522E" w:rsidTr="00993A61">
        <w:trPr>
          <w:trHeight w:val="113"/>
        </w:trPr>
        <w:tc>
          <w:tcPr>
            <w:tcW w:w="2582" w:type="pct"/>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200"/>
              <w:rPr>
                <w:rFonts w:eastAsia="Times New Roman" w:cstheme="minorHAnsi"/>
                <w:color w:val="000000"/>
                <w:sz w:val="20"/>
                <w:szCs w:val="20"/>
              </w:rPr>
            </w:pPr>
            <w:r w:rsidRPr="00E6522E">
              <w:rPr>
                <w:rFonts w:eastAsia="Times New Roman" w:cstheme="minorHAnsi"/>
                <w:color w:val="000000"/>
                <w:sz w:val="20"/>
                <w:szCs w:val="20"/>
              </w:rPr>
              <w:t>Previous Forecast</w:t>
            </w:r>
          </w:p>
        </w:tc>
        <w:tc>
          <w:tcPr>
            <w:tcW w:w="427"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4.5%</w:t>
            </w:r>
          </w:p>
        </w:tc>
        <w:tc>
          <w:tcPr>
            <w:tcW w:w="501"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3.5%</w:t>
            </w:r>
          </w:p>
        </w:tc>
        <w:tc>
          <w:tcPr>
            <w:tcW w:w="49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3.0%</w:t>
            </w:r>
          </w:p>
        </w:tc>
        <w:tc>
          <w:tcPr>
            <w:tcW w:w="49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3.0%</w:t>
            </w:r>
          </w:p>
        </w:tc>
        <w:tc>
          <w:tcPr>
            <w:tcW w:w="496"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3.0%</w:t>
            </w:r>
          </w:p>
        </w:tc>
      </w:tr>
      <w:tr w:rsidR="00A21683" w:rsidRPr="00E6522E" w:rsidTr="00993A61">
        <w:trPr>
          <w:trHeight w:val="113"/>
        </w:trPr>
        <w:tc>
          <w:tcPr>
            <w:tcW w:w="2582" w:type="pct"/>
            <w:tcBorders>
              <w:top w:val="nil"/>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200"/>
              <w:rPr>
                <w:rFonts w:eastAsia="Times New Roman" w:cstheme="minorHAnsi"/>
                <w:color w:val="000000"/>
              </w:rPr>
            </w:pPr>
            <w:r w:rsidRPr="00E6522E">
              <w:rPr>
                <w:rFonts w:eastAsia="Times New Roman" w:cstheme="minorHAnsi"/>
                <w:color w:val="000000"/>
                <w:sz w:val="20"/>
                <w:szCs w:val="20"/>
              </w:rPr>
              <w:t>Updated Forecast</w:t>
            </w:r>
          </w:p>
        </w:tc>
        <w:tc>
          <w:tcPr>
            <w:tcW w:w="427" w:type="pct"/>
            <w:tcBorders>
              <w:top w:val="nil"/>
              <w:left w:val="nil"/>
              <w:bottom w:val="single" w:sz="4"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4.4%</w:t>
            </w:r>
          </w:p>
        </w:tc>
        <w:tc>
          <w:tcPr>
            <w:tcW w:w="501" w:type="pct"/>
            <w:tcBorders>
              <w:top w:val="nil"/>
              <w:left w:val="double" w:sz="6" w:space="0" w:color="auto"/>
              <w:bottom w:val="single" w:sz="4"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5.0%</w:t>
            </w:r>
          </w:p>
        </w:tc>
        <w:tc>
          <w:tcPr>
            <w:tcW w:w="49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3.5%</w:t>
            </w:r>
          </w:p>
        </w:tc>
        <w:tc>
          <w:tcPr>
            <w:tcW w:w="49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3.0%</w:t>
            </w:r>
          </w:p>
        </w:tc>
        <w:tc>
          <w:tcPr>
            <w:tcW w:w="496"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3.0%</w:t>
            </w:r>
          </w:p>
        </w:tc>
      </w:tr>
      <w:tr w:rsidR="00A21683" w:rsidRPr="00E6522E" w:rsidTr="00993A61">
        <w:trPr>
          <w:trHeight w:val="113"/>
        </w:trPr>
        <w:tc>
          <w:tcPr>
            <w:tcW w:w="2582" w:type="pct"/>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color w:val="000000"/>
                <w:sz w:val="20"/>
                <w:szCs w:val="20"/>
              </w:rPr>
            </w:pPr>
            <w:r w:rsidRPr="00E6522E">
              <w:rPr>
                <w:rFonts w:eastAsia="Times New Roman" w:cstheme="minorHAnsi"/>
                <w:color w:val="000000"/>
                <w:sz w:val="20"/>
                <w:szCs w:val="20"/>
              </w:rPr>
              <w:t>Difference</w:t>
            </w:r>
          </w:p>
        </w:tc>
        <w:tc>
          <w:tcPr>
            <w:tcW w:w="427"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rPr>
            </w:pPr>
            <w:r w:rsidRPr="00E6522E">
              <w:rPr>
                <w:rFonts w:eastAsia="Times New Roman" w:cstheme="minorHAnsi"/>
                <w:color w:val="000000"/>
                <w:sz w:val="20"/>
                <w:szCs w:val="20"/>
              </w:rPr>
              <w:t>-0.</w:t>
            </w:r>
            <w:r w:rsidRPr="00E6522E">
              <w:rPr>
                <w:rFonts w:eastAsia="Times New Roman" w:cstheme="minorHAnsi"/>
                <w:color w:val="000000"/>
              </w:rPr>
              <w:t>1%</w:t>
            </w:r>
          </w:p>
        </w:tc>
        <w:tc>
          <w:tcPr>
            <w:tcW w:w="501" w:type="pct"/>
            <w:tcBorders>
              <w:top w:val="single" w:sz="4" w:space="0" w:color="auto"/>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rPr>
            </w:pPr>
            <w:r w:rsidRPr="00E6522E">
              <w:rPr>
                <w:rFonts w:eastAsia="Times New Roman" w:cstheme="minorHAnsi"/>
                <w:color w:val="000000"/>
                <w:sz w:val="20"/>
                <w:szCs w:val="20"/>
              </w:rPr>
              <w:t>1.</w:t>
            </w:r>
            <w:r w:rsidRPr="00E6522E">
              <w:rPr>
                <w:rFonts w:eastAsia="Times New Roman" w:cstheme="minorHAnsi"/>
                <w:color w:val="000000"/>
              </w:rPr>
              <w:t>5%</w:t>
            </w:r>
          </w:p>
        </w:tc>
        <w:tc>
          <w:tcPr>
            <w:tcW w:w="49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rPr>
            </w:pPr>
            <w:r w:rsidRPr="00E6522E">
              <w:rPr>
                <w:rFonts w:eastAsia="Times New Roman" w:cstheme="minorHAnsi"/>
                <w:color w:val="000000"/>
                <w:sz w:val="20"/>
                <w:szCs w:val="20"/>
              </w:rPr>
              <w:t>0.</w:t>
            </w:r>
            <w:r w:rsidRPr="00E6522E">
              <w:rPr>
                <w:rFonts w:eastAsia="Times New Roman" w:cstheme="minorHAnsi"/>
                <w:color w:val="000000"/>
              </w:rPr>
              <w:t>5%</w:t>
            </w:r>
          </w:p>
        </w:tc>
        <w:tc>
          <w:tcPr>
            <w:tcW w:w="49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rPr>
            </w:pPr>
            <w:r w:rsidRPr="00E6522E">
              <w:rPr>
                <w:rFonts w:eastAsia="Times New Roman" w:cstheme="minorHAnsi"/>
                <w:color w:val="000000"/>
                <w:sz w:val="20"/>
                <w:szCs w:val="20"/>
              </w:rPr>
              <w:t>0.</w:t>
            </w:r>
            <w:r w:rsidRPr="00E6522E">
              <w:rPr>
                <w:rFonts w:eastAsia="Times New Roman" w:cstheme="minorHAnsi"/>
                <w:color w:val="000000"/>
              </w:rPr>
              <w:t>0%</w:t>
            </w:r>
          </w:p>
        </w:tc>
        <w:tc>
          <w:tcPr>
            <w:tcW w:w="496"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rPr>
            </w:pPr>
            <w:r w:rsidRPr="00E6522E">
              <w:rPr>
                <w:rFonts w:eastAsia="Times New Roman" w:cstheme="minorHAnsi"/>
                <w:color w:val="000000"/>
                <w:sz w:val="20"/>
                <w:szCs w:val="20"/>
              </w:rPr>
              <w:t>0.</w:t>
            </w:r>
            <w:r w:rsidRPr="00E6522E">
              <w:rPr>
                <w:rFonts w:eastAsia="Times New Roman" w:cstheme="minorHAnsi"/>
                <w:color w:val="000000"/>
              </w:rPr>
              <w:t>0%</w:t>
            </w:r>
          </w:p>
        </w:tc>
      </w:tr>
      <w:tr w:rsidR="00A21683" w:rsidRPr="00E6522E" w:rsidTr="00993A61">
        <w:trPr>
          <w:trHeight w:val="113"/>
        </w:trPr>
        <w:tc>
          <w:tcPr>
            <w:tcW w:w="2582" w:type="pct"/>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200"/>
              <w:rPr>
                <w:rFonts w:eastAsia="Times New Roman" w:cstheme="minorHAnsi"/>
                <w:color w:val="000000"/>
              </w:rPr>
            </w:pPr>
            <w:r w:rsidRPr="00E6522E">
              <w:rPr>
                <w:rFonts w:eastAsia="Times New Roman" w:cstheme="minorHAnsi"/>
                <w:color w:val="000000"/>
                <w:sz w:val="20"/>
                <w:szCs w:val="20"/>
              </w:rPr>
              <w:t xml:space="preserve">Interest Rates on Loans, </w:t>
            </w:r>
            <w:r w:rsidRPr="00E6522E">
              <w:rPr>
                <w:rFonts w:eastAsia="Times New Roman" w:cstheme="minorHAnsi"/>
                <w:color w:val="000000"/>
              </w:rPr>
              <w:t>%</w:t>
            </w:r>
          </w:p>
        </w:tc>
        <w:tc>
          <w:tcPr>
            <w:tcW w:w="427"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 </w:t>
            </w:r>
          </w:p>
        </w:tc>
        <w:tc>
          <w:tcPr>
            <w:tcW w:w="501"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 </w:t>
            </w:r>
          </w:p>
        </w:tc>
        <w:tc>
          <w:tcPr>
            <w:tcW w:w="49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 </w:t>
            </w:r>
          </w:p>
        </w:tc>
        <w:tc>
          <w:tcPr>
            <w:tcW w:w="49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 </w:t>
            </w:r>
          </w:p>
        </w:tc>
        <w:tc>
          <w:tcPr>
            <w:tcW w:w="496"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 </w:t>
            </w:r>
          </w:p>
        </w:tc>
      </w:tr>
      <w:tr w:rsidR="00A21683" w:rsidRPr="00E6522E" w:rsidTr="00993A61">
        <w:trPr>
          <w:trHeight w:val="113"/>
        </w:trPr>
        <w:tc>
          <w:tcPr>
            <w:tcW w:w="2582" w:type="pct"/>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200"/>
              <w:rPr>
                <w:rFonts w:eastAsia="Times New Roman" w:cstheme="minorHAnsi"/>
                <w:color w:val="000000"/>
                <w:sz w:val="20"/>
                <w:szCs w:val="20"/>
              </w:rPr>
            </w:pPr>
            <w:r w:rsidRPr="00E6522E">
              <w:rPr>
                <w:rFonts w:eastAsia="Times New Roman" w:cstheme="minorHAnsi"/>
                <w:color w:val="000000"/>
                <w:sz w:val="20"/>
                <w:szCs w:val="20"/>
              </w:rPr>
              <w:t>Previous Forecast</w:t>
            </w:r>
          </w:p>
        </w:tc>
        <w:tc>
          <w:tcPr>
            <w:tcW w:w="427"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15.7%</w:t>
            </w:r>
          </w:p>
        </w:tc>
        <w:tc>
          <w:tcPr>
            <w:tcW w:w="501"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14.7%</w:t>
            </w:r>
          </w:p>
        </w:tc>
        <w:tc>
          <w:tcPr>
            <w:tcW w:w="49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13.7%</w:t>
            </w:r>
          </w:p>
        </w:tc>
        <w:tc>
          <w:tcPr>
            <w:tcW w:w="49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12.7%</w:t>
            </w:r>
          </w:p>
        </w:tc>
        <w:tc>
          <w:tcPr>
            <w:tcW w:w="496"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11.7%</w:t>
            </w:r>
          </w:p>
        </w:tc>
      </w:tr>
      <w:tr w:rsidR="00A21683" w:rsidRPr="00E6522E" w:rsidTr="00993A61">
        <w:trPr>
          <w:trHeight w:val="113"/>
        </w:trPr>
        <w:tc>
          <w:tcPr>
            <w:tcW w:w="2582" w:type="pct"/>
            <w:tcBorders>
              <w:top w:val="nil"/>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200"/>
              <w:rPr>
                <w:rFonts w:eastAsia="Times New Roman" w:cstheme="minorHAnsi"/>
                <w:color w:val="000000"/>
              </w:rPr>
            </w:pPr>
            <w:r w:rsidRPr="00E6522E">
              <w:rPr>
                <w:rFonts w:eastAsia="Times New Roman" w:cstheme="minorHAnsi"/>
                <w:color w:val="000000"/>
                <w:sz w:val="20"/>
                <w:szCs w:val="20"/>
              </w:rPr>
              <w:t>Updated Forecast</w:t>
            </w:r>
          </w:p>
        </w:tc>
        <w:tc>
          <w:tcPr>
            <w:tcW w:w="427" w:type="pct"/>
            <w:tcBorders>
              <w:top w:val="nil"/>
              <w:left w:val="nil"/>
              <w:bottom w:val="single" w:sz="4"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16.0%</w:t>
            </w:r>
          </w:p>
        </w:tc>
        <w:tc>
          <w:tcPr>
            <w:tcW w:w="501" w:type="pct"/>
            <w:tcBorders>
              <w:top w:val="nil"/>
              <w:left w:val="double" w:sz="6" w:space="0" w:color="auto"/>
              <w:bottom w:val="single" w:sz="4"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15.0%</w:t>
            </w:r>
          </w:p>
        </w:tc>
        <w:tc>
          <w:tcPr>
            <w:tcW w:w="49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14.0%</w:t>
            </w:r>
          </w:p>
        </w:tc>
        <w:tc>
          <w:tcPr>
            <w:tcW w:w="49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13.0%</w:t>
            </w:r>
          </w:p>
        </w:tc>
        <w:tc>
          <w:tcPr>
            <w:tcW w:w="496"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12.0%</w:t>
            </w:r>
          </w:p>
        </w:tc>
      </w:tr>
      <w:tr w:rsidR="00A21683" w:rsidRPr="00E6522E" w:rsidTr="00993A61">
        <w:trPr>
          <w:trHeight w:val="113"/>
        </w:trPr>
        <w:tc>
          <w:tcPr>
            <w:tcW w:w="2582" w:type="pct"/>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color w:val="000000"/>
                <w:sz w:val="20"/>
                <w:szCs w:val="20"/>
              </w:rPr>
            </w:pPr>
            <w:r w:rsidRPr="00E6522E">
              <w:rPr>
                <w:rFonts w:eastAsia="Times New Roman" w:cstheme="minorHAnsi"/>
                <w:color w:val="000000"/>
                <w:sz w:val="20"/>
                <w:szCs w:val="20"/>
              </w:rPr>
              <w:t>Difference</w:t>
            </w:r>
          </w:p>
        </w:tc>
        <w:tc>
          <w:tcPr>
            <w:tcW w:w="427"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rPr>
            </w:pPr>
            <w:r w:rsidRPr="00E6522E">
              <w:rPr>
                <w:rFonts w:eastAsia="Times New Roman" w:cstheme="minorHAnsi"/>
                <w:color w:val="000000"/>
                <w:sz w:val="20"/>
                <w:szCs w:val="20"/>
              </w:rPr>
              <w:t>0.</w:t>
            </w:r>
            <w:r w:rsidRPr="00E6522E">
              <w:rPr>
                <w:rFonts w:eastAsia="Times New Roman" w:cstheme="minorHAnsi"/>
                <w:color w:val="000000"/>
              </w:rPr>
              <w:t>2%</w:t>
            </w:r>
          </w:p>
        </w:tc>
        <w:tc>
          <w:tcPr>
            <w:tcW w:w="501" w:type="pct"/>
            <w:tcBorders>
              <w:top w:val="single" w:sz="4" w:space="0" w:color="auto"/>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rPr>
            </w:pPr>
            <w:r w:rsidRPr="00E6522E">
              <w:rPr>
                <w:rFonts w:eastAsia="Times New Roman" w:cstheme="minorHAnsi"/>
                <w:color w:val="000000"/>
                <w:sz w:val="20"/>
                <w:szCs w:val="20"/>
              </w:rPr>
              <w:t>0.</w:t>
            </w:r>
            <w:r w:rsidRPr="00E6522E">
              <w:rPr>
                <w:rFonts w:eastAsia="Times New Roman" w:cstheme="minorHAnsi"/>
                <w:color w:val="000000"/>
              </w:rPr>
              <w:t>3%</w:t>
            </w:r>
          </w:p>
        </w:tc>
        <w:tc>
          <w:tcPr>
            <w:tcW w:w="49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rPr>
            </w:pPr>
            <w:r w:rsidRPr="00E6522E">
              <w:rPr>
                <w:rFonts w:eastAsia="Times New Roman" w:cstheme="minorHAnsi"/>
                <w:color w:val="000000"/>
                <w:sz w:val="20"/>
                <w:szCs w:val="20"/>
              </w:rPr>
              <w:t>0.</w:t>
            </w:r>
            <w:r w:rsidRPr="00E6522E">
              <w:rPr>
                <w:rFonts w:eastAsia="Times New Roman" w:cstheme="minorHAnsi"/>
                <w:color w:val="000000"/>
              </w:rPr>
              <w:t>3%</w:t>
            </w:r>
          </w:p>
        </w:tc>
        <w:tc>
          <w:tcPr>
            <w:tcW w:w="49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rPr>
            </w:pPr>
            <w:r w:rsidRPr="00E6522E">
              <w:rPr>
                <w:rFonts w:eastAsia="Times New Roman" w:cstheme="minorHAnsi"/>
                <w:color w:val="000000"/>
                <w:sz w:val="20"/>
                <w:szCs w:val="20"/>
              </w:rPr>
              <w:t>0.</w:t>
            </w:r>
            <w:r w:rsidRPr="00E6522E">
              <w:rPr>
                <w:rFonts w:eastAsia="Times New Roman" w:cstheme="minorHAnsi"/>
                <w:color w:val="000000"/>
              </w:rPr>
              <w:t>3%</w:t>
            </w:r>
          </w:p>
        </w:tc>
        <w:tc>
          <w:tcPr>
            <w:tcW w:w="496"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rPr>
            </w:pPr>
            <w:r w:rsidRPr="00E6522E">
              <w:rPr>
                <w:rFonts w:eastAsia="Times New Roman" w:cstheme="minorHAnsi"/>
                <w:color w:val="000000"/>
                <w:sz w:val="20"/>
                <w:szCs w:val="20"/>
              </w:rPr>
              <w:t>0.</w:t>
            </w:r>
            <w:r w:rsidRPr="00E6522E">
              <w:rPr>
                <w:rFonts w:eastAsia="Times New Roman" w:cstheme="minorHAnsi"/>
                <w:color w:val="000000"/>
              </w:rPr>
              <w:t>3%</w:t>
            </w:r>
          </w:p>
        </w:tc>
      </w:tr>
      <w:tr w:rsidR="00A21683" w:rsidRPr="00E6522E" w:rsidTr="00993A61">
        <w:trPr>
          <w:trHeight w:val="113"/>
        </w:trPr>
        <w:tc>
          <w:tcPr>
            <w:tcW w:w="2582" w:type="pct"/>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200"/>
              <w:rPr>
                <w:rFonts w:eastAsia="Times New Roman" w:cstheme="minorHAnsi"/>
                <w:color w:val="000000"/>
              </w:rPr>
            </w:pPr>
            <w:r w:rsidRPr="00E6522E">
              <w:rPr>
                <w:rFonts w:eastAsia="Times New Roman" w:cstheme="minorHAnsi"/>
                <w:color w:val="000000"/>
                <w:sz w:val="20"/>
                <w:szCs w:val="20"/>
              </w:rPr>
              <w:t xml:space="preserve">Interest Rates on Deposits, </w:t>
            </w:r>
            <w:r w:rsidRPr="00E6522E">
              <w:rPr>
                <w:rFonts w:eastAsia="Times New Roman" w:cstheme="minorHAnsi"/>
                <w:color w:val="000000"/>
              </w:rPr>
              <w:t>%</w:t>
            </w:r>
          </w:p>
        </w:tc>
        <w:tc>
          <w:tcPr>
            <w:tcW w:w="427"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 </w:t>
            </w:r>
          </w:p>
        </w:tc>
        <w:tc>
          <w:tcPr>
            <w:tcW w:w="501"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 </w:t>
            </w:r>
          </w:p>
        </w:tc>
        <w:tc>
          <w:tcPr>
            <w:tcW w:w="49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 </w:t>
            </w:r>
          </w:p>
        </w:tc>
        <w:tc>
          <w:tcPr>
            <w:tcW w:w="49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 </w:t>
            </w:r>
          </w:p>
        </w:tc>
        <w:tc>
          <w:tcPr>
            <w:tcW w:w="496"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 </w:t>
            </w:r>
          </w:p>
        </w:tc>
      </w:tr>
      <w:tr w:rsidR="00A21683" w:rsidRPr="00E6522E" w:rsidTr="00993A61">
        <w:trPr>
          <w:trHeight w:val="113"/>
        </w:trPr>
        <w:tc>
          <w:tcPr>
            <w:tcW w:w="2582" w:type="pct"/>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200"/>
              <w:rPr>
                <w:rFonts w:eastAsia="Times New Roman" w:cstheme="minorHAnsi"/>
                <w:color w:val="000000"/>
                <w:sz w:val="20"/>
                <w:szCs w:val="20"/>
              </w:rPr>
            </w:pPr>
            <w:r w:rsidRPr="00E6522E">
              <w:rPr>
                <w:rFonts w:eastAsia="Times New Roman" w:cstheme="minorHAnsi"/>
                <w:color w:val="000000"/>
                <w:sz w:val="20"/>
                <w:szCs w:val="20"/>
              </w:rPr>
              <w:t>Previous Forecast</w:t>
            </w:r>
          </w:p>
        </w:tc>
        <w:tc>
          <w:tcPr>
            <w:tcW w:w="427"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8.3%</w:t>
            </w:r>
          </w:p>
        </w:tc>
        <w:tc>
          <w:tcPr>
            <w:tcW w:w="501"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7.8%</w:t>
            </w:r>
          </w:p>
        </w:tc>
        <w:tc>
          <w:tcPr>
            <w:tcW w:w="49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7.3%</w:t>
            </w:r>
          </w:p>
        </w:tc>
        <w:tc>
          <w:tcPr>
            <w:tcW w:w="49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6.8%</w:t>
            </w:r>
          </w:p>
        </w:tc>
        <w:tc>
          <w:tcPr>
            <w:tcW w:w="496"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6.3%</w:t>
            </w:r>
          </w:p>
        </w:tc>
      </w:tr>
      <w:tr w:rsidR="00A21683" w:rsidRPr="00E6522E" w:rsidTr="00993A61">
        <w:trPr>
          <w:trHeight w:val="113"/>
        </w:trPr>
        <w:tc>
          <w:tcPr>
            <w:tcW w:w="2582" w:type="pct"/>
            <w:tcBorders>
              <w:top w:val="nil"/>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200"/>
              <w:rPr>
                <w:rFonts w:eastAsia="Times New Roman" w:cstheme="minorHAnsi"/>
                <w:color w:val="000000"/>
              </w:rPr>
            </w:pPr>
            <w:r w:rsidRPr="00E6522E">
              <w:rPr>
                <w:rFonts w:eastAsia="Times New Roman" w:cstheme="minorHAnsi"/>
                <w:color w:val="000000"/>
                <w:sz w:val="20"/>
                <w:szCs w:val="20"/>
              </w:rPr>
              <w:t>Updated Forecast</w:t>
            </w:r>
          </w:p>
        </w:tc>
        <w:tc>
          <w:tcPr>
            <w:tcW w:w="427" w:type="pct"/>
            <w:tcBorders>
              <w:top w:val="nil"/>
              <w:left w:val="nil"/>
              <w:bottom w:val="single" w:sz="4"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7.9%</w:t>
            </w:r>
          </w:p>
        </w:tc>
        <w:tc>
          <w:tcPr>
            <w:tcW w:w="501" w:type="pct"/>
            <w:tcBorders>
              <w:top w:val="nil"/>
              <w:left w:val="double" w:sz="6" w:space="0" w:color="auto"/>
              <w:bottom w:val="single" w:sz="4"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7.4%</w:t>
            </w:r>
          </w:p>
        </w:tc>
        <w:tc>
          <w:tcPr>
            <w:tcW w:w="49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6.9%</w:t>
            </w:r>
          </w:p>
        </w:tc>
        <w:tc>
          <w:tcPr>
            <w:tcW w:w="49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6.4%</w:t>
            </w:r>
          </w:p>
        </w:tc>
        <w:tc>
          <w:tcPr>
            <w:tcW w:w="496"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5.9%</w:t>
            </w:r>
          </w:p>
        </w:tc>
      </w:tr>
      <w:tr w:rsidR="00A21683" w:rsidRPr="00E6522E" w:rsidTr="00993A61">
        <w:trPr>
          <w:trHeight w:val="113"/>
        </w:trPr>
        <w:tc>
          <w:tcPr>
            <w:tcW w:w="2582" w:type="pct"/>
            <w:tcBorders>
              <w:top w:val="nil"/>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color w:val="000000"/>
                <w:sz w:val="20"/>
                <w:szCs w:val="20"/>
              </w:rPr>
            </w:pPr>
            <w:r w:rsidRPr="00E6522E">
              <w:rPr>
                <w:rFonts w:eastAsia="Times New Roman" w:cstheme="minorHAnsi"/>
                <w:color w:val="000000"/>
                <w:sz w:val="20"/>
                <w:szCs w:val="20"/>
              </w:rPr>
              <w:t>Difference</w:t>
            </w:r>
          </w:p>
        </w:tc>
        <w:tc>
          <w:tcPr>
            <w:tcW w:w="427" w:type="pct"/>
            <w:tcBorders>
              <w:top w:val="nil"/>
              <w:left w:val="nil"/>
              <w:bottom w:val="single" w:sz="4"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-0.3%</w:t>
            </w:r>
          </w:p>
        </w:tc>
        <w:tc>
          <w:tcPr>
            <w:tcW w:w="501" w:type="pct"/>
            <w:tcBorders>
              <w:top w:val="nil"/>
              <w:left w:val="double" w:sz="6" w:space="0" w:color="auto"/>
              <w:bottom w:val="single" w:sz="4"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-0.3%</w:t>
            </w:r>
          </w:p>
        </w:tc>
        <w:tc>
          <w:tcPr>
            <w:tcW w:w="49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-0.3%</w:t>
            </w:r>
          </w:p>
        </w:tc>
        <w:tc>
          <w:tcPr>
            <w:tcW w:w="49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-0.3%</w:t>
            </w:r>
          </w:p>
        </w:tc>
        <w:tc>
          <w:tcPr>
            <w:tcW w:w="496"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-0.3%</w:t>
            </w:r>
          </w:p>
        </w:tc>
      </w:tr>
    </w:tbl>
    <w:p w:rsidR="00993A61" w:rsidRPr="00E6522E" w:rsidRDefault="00993A61" w:rsidP="00993A61">
      <w:pPr>
        <w:pStyle w:val="NoSpacing"/>
        <w:jc w:val="both"/>
        <w:rPr>
          <w:rFonts w:cstheme="minorHAnsi"/>
          <w:lang w:val="ka-GE"/>
        </w:rPr>
      </w:pPr>
    </w:p>
    <w:p w:rsidR="00A21683" w:rsidRPr="00E6522E" w:rsidRDefault="00A21683" w:rsidP="00A21683">
      <w:pPr>
        <w:pStyle w:val="NoSpacing"/>
        <w:spacing w:after="240"/>
        <w:jc w:val="both"/>
        <w:rPr>
          <w:rFonts w:cstheme="minorHAnsi"/>
        </w:rPr>
      </w:pPr>
      <w:r w:rsidRPr="00E6522E">
        <w:rPr>
          <w:rFonts w:cstheme="minorHAnsi"/>
          <w:lang w:val="ka-GE"/>
        </w:rPr>
        <w:t xml:space="preserve">Table 1 </w:t>
      </w:r>
      <w:r w:rsidR="005D1023" w:rsidRPr="00E6522E">
        <w:rPr>
          <w:rFonts w:cstheme="minorHAnsi"/>
        </w:rPr>
        <w:t>reveals the differences</w:t>
      </w:r>
      <w:r w:rsidRPr="00E6522E">
        <w:rPr>
          <w:rFonts w:cstheme="minorHAnsi"/>
          <w:lang w:val="ka-GE"/>
        </w:rPr>
        <w:t xml:space="preserve"> in </w:t>
      </w:r>
      <w:r w:rsidR="005D1023" w:rsidRPr="00E6522E">
        <w:rPr>
          <w:rFonts w:cstheme="minorHAnsi"/>
        </w:rPr>
        <w:t>major</w:t>
      </w:r>
      <w:r w:rsidRPr="00E6522E">
        <w:rPr>
          <w:rFonts w:cstheme="minorHAnsi"/>
          <w:lang w:val="ka-GE"/>
        </w:rPr>
        <w:t xml:space="preserve"> underlying assumptions. The table also </w:t>
      </w:r>
      <w:r w:rsidR="005D1023" w:rsidRPr="00E6522E">
        <w:rPr>
          <w:rFonts w:cstheme="minorHAnsi"/>
        </w:rPr>
        <w:t>shows</w:t>
      </w:r>
      <w:r w:rsidRPr="00E6522E">
        <w:rPr>
          <w:rFonts w:cstheme="minorHAnsi"/>
          <w:lang w:val="ka-GE"/>
        </w:rPr>
        <w:t xml:space="preserve"> the actual </w:t>
      </w:r>
      <w:r w:rsidRPr="00E6522E">
        <w:rPr>
          <w:rFonts w:cstheme="minorHAnsi"/>
        </w:rPr>
        <w:t>values</w:t>
      </w:r>
      <w:r w:rsidRPr="00E6522E">
        <w:rPr>
          <w:rFonts w:cstheme="minorHAnsi"/>
          <w:lang w:val="ka-GE"/>
        </w:rPr>
        <w:t xml:space="preserve"> for 2018 </w:t>
      </w:r>
      <w:r w:rsidRPr="00E6522E">
        <w:rPr>
          <w:rFonts w:cstheme="minorHAnsi"/>
        </w:rPr>
        <w:t xml:space="preserve">in order </w:t>
      </w:r>
      <w:r w:rsidR="005D1023" w:rsidRPr="00E6522E">
        <w:rPr>
          <w:rFonts w:cstheme="minorHAnsi"/>
          <w:lang w:val="ka-GE"/>
        </w:rPr>
        <w:t xml:space="preserve">to </w:t>
      </w:r>
      <w:r w:rsidR="00B704B2" w:rsidRPr="00E6522E">
        <w:rPr>
          <w:rFonts w:cstheme="minorHAnsi"/>
        </w:rPr>
        <w:t>present</w:t>
      </w:r>
      <w:r w:rsidR="00B704B2" w:rsidRPr="00E6522E">
        <w:rPr>
          <w:rFonts w:cstheme="minorHAnsi"/>
          <w:lang w:val="ka-GE"/>
        </w:rPr>
        <w:t xml:space="preserve"> </w:t>
      </w:r>
      <w:r w:rsidRPr="00E6522E">
        <w:rPr>
          <w:rFonts w:cstheme="minorHAnsi"/>
          <w:lang w:val="ka-GE"/>
        </w:rPr>
        <w:t>more clearly</w:t>
      </w:r>
      <w:r w:rsidR="005D1023" w:rsidRPr="00E6522E">
        <w:rPr>
          <w:rFonts w:cstheme="minorHAnsi"/>
        </w:rPr>
        <w:t xml:space="preserve"> </w:t>
      </w:r>
      <w:r w:rsidRPr="00E6522E">
        <w:rPr>
          <w:rFonts w:cstheme="minorHAnsi"/>
          <w:lang w:val="ka-GE"/>
        </w:rPr>
        <w:t xml:space="preserve">the effect of the </w:t>
      </w:r>
      <w:r w:rsidRPr="00E6522E">
        <w:rPr>
          <w:rFonts w:cstheme="minorHAnsi"/>
        </w:rPr>
        <w:t>adjustments</w:t>
      </w:r>
      <w:r w:rsidR="005D1023" w:rsidRPr="00E6522E">
        <w:rPr>
          <w:rFonts w:cstheme="minorHAnsi"/>
        </w:rPr>
        <w:t xml:space="preserve"> caused by the changes in the base year. </w:t>
      </w:r>
      <w:r w:rsidRPr="00E6522E">
        <w:rPr>
          <w:rFonts w:cstheme="minorHAnsi"/>
          <w:lang w:val="ka-GE"/>
        </w:rPr>
        <w:t xml:space="preserve"> As we can see, </w:t>
      </w:r>
      <w:r w:rsidRPr="00E6522E">
        <w:rPr>
          <w:rFonts w:cstheme="minorHAnsi"/>
        </w:rPr>
        <w:t xml:space="preserve">the expected value of the </w:t>
      </w:r>
      <w:r w:rsidRPr="00E6522E">
        <w:rPr>
          <w:rFonts w:cstheme="minorHAnsi"/>
          <w:lang w:val="ka-GE"/>
        </w:rPr>
        <w:t>real GDP growth</w:t>
      </w:r>
      <w:r w:rsidRPr="00E6522E">
        <w:rPr>
          <w:rFonts w:cstheme="minorHAnsi"/>
        </w:rPr>
        <w:t xml:space="preserve"> in 2019</w:t>
      </w:r>
      <w:r w:rsidRPr="00E6522E">
        <w:rPr>
          <w:rFonts w:cstheme="minorHAnsi"/>
          <w:lang w:val="ka-GE"/>
        </w:rPr>
        <w:t xml:space="preserve"> </w:t>
      </w:r>
      <w:r w:rsidRPr="00E6522E">
        <w:rPr>
          <w:rFonts w:cstheme="minorHAnsi"/>
        </w:rPr>
        <w:t>has</w:t>
      </w:r>
      <w:r w:rsidRPr="00E6522E">
        <w:rPr>
          <w:rFonts w:cstheme="minorHAnsi"/>
          <w:lang w:val="ka-GE"/>
        </w:rPr>
        <w:t xml:space="preserve"> increase</w:t>
      </w:r>
      <w:r w:rsidRPr="00E6522E">
        <w:rPr>
          <w:rFonts w:cstheme="minorHAnsi"/>
        </w:rPr>
        <w:t>d</w:t>
      </w:r>
      <w:r w:rsidRPr="00E6522E">
        <w:rPr>
          <w:rFonts w:cstheme="minorHAnsi"/>
          <w:lang w:val="ka-GE"/>
        </w:rPr>
        <w:t xml:space="preserve"> slightly, however, </w:t>
      </w:r>
      <w:r w:rsidRPr="00E6522E">
        <w:rPr>
          <w:rFonts w:cstheme="minorHAnsi"/>
        </w:rPr>
        <w:t xml:space="preserve">the forecast for 2022 has decreased by </w:t>
      </w:r>
      <w:r w:rsidRPr="00E6522E">
        <w:rPr>
          <w:rFonts w:cstheme="minorHAnsi"/>
          <w:lang w:val="ka-GE"/>
        </w:rPr>
        <w:t>1.0 percentage point</w:t>
      </w:r>
      <w:r w:rsidRPr="00E6522E">
        <w:rPr>
          <w:rFonts w:cstheme="minorHAnsi"/>
        </w:rPr>
        <w:t xml:space="preserve"> </w:t>
      </w:r>
      <w:r w:rsidRPr="00E6522E">
        <w:rPr>
          <w:rFonts w:cstheme="minorHAnsi"/>
          <w:lang w:val="ka-GE"/>
        </w:rPr>
        <w:t>which is related to the revision of global economic growth forecasts. As for the current account balance, given the latest trends, the forecast has improv</w:t>
      </w:r>
      <w:r w:rsidRPr="00E6522E">
        <w:rPr>
          <w:rFonts w:cstheme="minorHAnsi"/>
        </w:rPr>
        <w:t>ed</w:t>
      </w:r>
      <w:r w:rsidRPr="00E6522E">
        <w:rPr>
          <w:rFonts w:cstheme="minorHAnsi"/>
          <w:lang w:val="ka-GE"/>
        </w:rPr>
        <w:t xml:space="preserve">. </w:t>
      </w:r>
      <w:r w:rsidR="00B704B2">
        <w:rPr>
          <w:rFonts w:cstheme="minorHAnsi"/>
        </w:rPr>
        <w:t>A faster than expected</w:t>
      </w:r>
      <w:r w:rsidRPr="00E6522E">
        <w:rPr>
          <w:rFonts w:cstheme="minorHAnsi"/>
          <w:lang w:val="ka-GE"/>
        </w:rPr>
        <w:t xml:space="preserve"> improvement </w:t>
      </w:r>
      <w:r w:rsidRPr="00E6522E">
        <w:rPr>
          <w:rFonts w:cstheme="minorHAnsi"/>
        </w:rPr>
        <w:t>of</w:t>
      </w:r>
      <w:r w:rsidRPr="00E6522E">
        <w:rPr>
          <w:rFonts w:cstheme="minorHAnsi"/>
          <w:lang w:val="ka-GE"/>
        </w:rPr>
        <w:t xml:space="preserve"> the current account balance is </w:t>
      </w:r>
      <w:r w:rsidRPr="00E6522E">
        <w:rPr>
          <w:rFonts w:cstheme="minorHAnsi"/>
        </w:rPr>
        <w:t>related</w:t>
      </w:r>
      <w:r w:rsidRPr="00E6522E">
        <w:rPr>
          <w:rFonts w:cstheme="minorHAnsi"/>
          <w:lang w:val="ka-GE"/>
        </w:rPr>
        <w:t xml:space="preserve"> to a sharp increase in savings in the economy since 2017, driven by recent saving </w:t>
      </w:r>
      <w:r w:rsidR="00B704B2">
        <w:rPr>
          <w:rFonts w:cstheme="minorHAnsi"/>
        </w:rPr>
        <w:t>enhancing reforms</w:t>
      </w:r>
      <w:r w:rsidRPr="00E6522E">
        <w:rPr>
          <w:rFonts w:cstheme="minorHAnsi"/>
          <w:lang w:val="ka-GE"/>
        </w:rPr>
        <w:t xml:space="preserve">, such as income tax reform, pension reform, </w:t>
      </w:r>
      <w:r w:rsidRPr="00E6522E">
        <w:rPr>
          <w:rFonts w:cstheme="minorHAnsi"/>
        </w:rPr>
        <w:t>etc.</w:t>
      </w:r>
    </w:p>
    <w:p w:rsidR="00A21683" w:rsidRPr="00E6522E" w:rsidRDefault="005D1023" w:rsidP="00A21683">
      <w:pPr>
        <w:pStyle w:val="NoSpacing"/>
        <w:jc w:val="both"/>
        <w:rPr>
          <w:rFonts w:cstheme="minorHAnsi"/>
          <w:lang w:val="ka-GE"/>
        </w:rPr>
      </w:pPr>
      <w:r w:rsidRPr="00E6522E">
        <w:rPr>
          <w:rFonts w:cstheme="minorHAnsi"/>
        </w:rPr>
        <w:t xml:space="preserve">As </w:t>
      </w:r>
      <w:r w:rsidR="00A21683" w:rsidRPr="00E6522E">
        <w:rPr>
          <w:rFonts w:cstheme="minorHAnsi"/>
          <w:lang w:val="ka-GE"/>
        </w:rPr>
        <w:t xml:space="preserve">Ministry of Finance of Georgia uses a </w:t>
      </w:r>
      <w:r w:rsidR="00B704B2">
        <w:rPr>
          <w:rFonts w:cstheme="minorHAnsi"/>
        </w:rPr>
        <w:t>macroeconomic</w:t>
      </w:r>
      <w:r w:rsidR="00B704B2" w:rsidRPr="00E6522E">
        <w:rPr>
          <w:rFonts w:cstheme="minorHAnsi"/>
        </w:rPr>
        <w:t xml:space="preserve"> </w:t>
      </w:r>
      <w:r w:rsidR="00A21683" w:rsidRPr="00E6522E">
        <w:rPr>
          <w:rFonts w:cstheme="minorHAnsi"/>
          <w:lang w:val="ka-GE"/>
        </w:rPr>
        <w:t>model for forecasting</w:t>
      </w:r>
      <w:r w:rsidR="00B704B2">
        <w:rPr>
          <w:rFonts w:cstheme="minorHAnsi"/>
        </w:rPr>
        <w:t>.</w:t>
      </w:r>
      <w:r w:rsidR="00B704B2" w:rsidRPr="00E6522E">
        <w:rPr>
          <w:rFonts w:cstheme="minorHAnsi"/>
        </w:rPr>
        <w:t xml:space="preserve"> </w:t>
      </w:r>
      <w:r w:rsidR="00B704B2">
        <w:rPr>
          <w:rFonts w:cstheme="minorHAnsi"/>
        </w:rPr>
        <w:t>C</w:t>
      </w:r>
      <w:r w:rsidR="00B704B2" w:rsidRPr="00E6522E">
        <w:rPr>
          <w:rFonts w:cstheme="minorHAnsi"/>
          <w:lang w:val="ka-GE"/>
        </w:rPr>
        <w:t xml:space="preserve">hanges </w:t>
      </w:r>
      <w:r w:rsidR="00A21683" w:rsidRPr="00E6522E">
        <w:rPr>
          <w:rFonts w:cstheme="minorHAnsi"/>
          <w:lang w:val="ka-GE"/>
        </w:rPr>
        <w:t xml:space="preserve">in the initial period data and adjustment of the initial variables affect the </w:t>
      </w:r>
      <w:r w:rsidR="00366633">
        <w:rPr>
          <w:rFonts w:cstheme="minorHAnsi"/>
        </w:rPr>
        <w:t>final results</w:t>
      </w:r>
      <w:r w:rsidR="00A21683" w:rsidRPr="00E6522E">
        <w:rPr>
          <w:rFonts w:cstheme="minorHAnsi"/>
          <w:lang w:val="ka-GE"/>
        </w:rPr>
        <w:t>, as reflected in the macroeconomic forecasts.</w:t>
      </w:r>
    </w:p>
    <w:p w:rsidR="00A21683" w:rsidRPr="00E6522E" w:rsidRDefault="00A21683" w:rsidP="00A21683">
      <w:pPr>
        <w:pStyle w:val="NoSpacing"/>
        <w:jc w:val="both"/>
        <w:rPr>
          <w:rFonts w:cstheme="minorHAnsi"/>
          <w:lang w:val="ka-GE"/>
        </w:rPr>
      </w:pPr>
    </w:p>
    <w:p w:rsidR="00993A61" w:rsidRPr="00E6522E" w:rsidRDefault="00993A61" w:rsidP="00A21683">
      <w:pPr>
        <w:pStyle w:val="NoSpacing"/>
        <w:jc w:val="both"/>
        <w:rPr>
          <w:rFonts w:cstheme="minorHAnsi"/>
          <w:lang w:val="ka-GE"/>
        </w:rPr>
      </w:pPr>
    </w:p>
    <w:p w:rsidR="00993A61" w:rsidRPr="00E6522E" w:rsidRDefault="00993A61" w:rsidP="00A21683">
      <w:pPr>
        <w:pStyle w:val="NoSpacing"/>
        <w:jc w:val="both"/>
        <w:rPr>
          <w:rFonts w:cstheme="minorHAnsi"/>
          <w:lang w:val="ka-GE"/>
        </w:rPr>
      </w:pPr>
    </w:p>
    <w:tbl>
      <w:tblPr>
        <w:tblW w:w="5000" w:type="pct"/>
        <w:tblLook w:val="04A0" w:firstRow="1" w:lastRow="0" w:firstColumn="1" w:lastColumn="0" w:noHBand="0" w:noVBand="1"/>
      </w:tblPr>
      <w:tblGrid>
        <w:gridCol w:w="4577"/>
        <w:gridCol w:w="1008"/>
        <w:gridCol w:w="1008"/>
        <w:gridCol w:w="1008"/>
        <w:gridCol w:w="1008"/>
        <w:gridCol w:w="1008"/>
      </w:tblGrid>
      <w:tr w:rsidR="00A21683" w:rsidRPr="00E6522E" w:rsidTr="00A21683">
        <w:trPr>
          <w:trHeight w:val="300"/>
        </w:trPr>
        <w:tc>
          <w:tcPr>
            <w:tcW w:w="2380" w:type="pct"/>
            <w:tcBorders>
              <w:top w:val="nil"/>
              <w:left w:val="nil"/>
              <w:bottom w:val="nil"/>
              <w:right w:val="nil"/>
            </w:tcBorders>
            <w:shd w:val="clear" w:color="auto" w:fill="auto"/>
            <w:noWrap/>
            <w:vAlign w:val="bottom"/>
            <w:hideMark/>
          </w:tcPr>
          <w:p w:rsidR="00A21683" w:rsidRPr="00E6522E" w:rsidRDefault="00A21683" w:rsidP="00A21683">
            <w:pPr>
              <w:rPr>
                <w:rFonts w:eastAsia="Times New Roman" w:cstheme="minorHAnsi"/>
                <w:b/>
                <w:bCs/>
                <w:color w:val="000000"/>
                <w:sz w:val="20"/>
                <w:szCs w:val="20"/>
              </w:rPr>
            </w:pPr>
            <w:r w:rsidRPr="00E6522E">
              <w:rPr>
                <w:rFonts w:eastAsia="Times New Roman" w:cstheme="minorHAnsi"/>
                <w:b/>
                <w:bCs/>
                <w:color w:val="000000"/>
                <w:sz w:val="20"/>
                <w:szCs w:val="20"/>
              </w:rPr>
              <w:t>Table 2. Change in Nominal GDP</w:t>
            </w:r>
          </w:p>
        </w:tc>
        <w:tc>
          <w:tcPr>
            <w:tcW w:w="524"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sz w:val="20"/>
                <w:szCs w:val="20"/>
              </w:rPr>
            </w:pPr>
          </w:p>
        </w:tc>
        <w:tc>
          <w:tcPr>
            <w:tcW w:w="524"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rPr>
                <w:rFonts w:eastAsia="Times New Roman" w:cstheme="minorHAnsi"/>
                <w:sz w:val="20"/>
                <w:szCs w:val="20"/>
              </w:rPr>
            </w:pPr>
          </w:p>
        </w:tc>
        <w:tc>
          <w:tcPr>
            <w:tcW w:w="524"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rPr>
                <w:rFonts w:eastAsia="Times New Roman" w:cstheme="minorHAnsi"/>
                <w:sz w:val="20"/>
                <w:szCs w:val="20"/>
              </w:rPr>
            </w:pPr>
          </w:p>
        </w:tc>
        <w:tc>
          <w:tcPr>
            <w:tcW w:w="524"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rPr>
                <w:rFonts w:eastAsia="Times New Roman" w:cstheme="minorHAnsi"/>
                <w:sz w:val="20"/>
                <w:szCs w:val="20"/>
              </w:rPr>
            </w:pPr>
          </w:p>
        </w:tc>
        <w:tc>
          <w:tcPr>
            <w:tcW w:w="524"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rPr>
                <w:rFonts w:eastAsia="Times New Roman" w:cstheme="minorHAnsi"/>
                <w:sz w:val="20"/>
                <w:szCs w:val="20"/>
              </w:rPr>
            </w:pPr>
          </w:p>
        </w:tc>
      </w:tr>
      <w:tr w:rsidR="00A21683" w:rsidRPr="00E6522E" w:rsidTr="00A21683">
        <w:trPr>
          <w:trHeight w:val="113"/>
        </w:trPr>
        <w:tc>
          <w:tcPr>
            <w:tcW w:w="2380" w:type="pct"/>
            <w:tcBorders>
              <w:top w:val="single" w:sz="4" w:space="0" w:color="auto"/>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color w:val="000000"/>
                <w:sz w:val="20"/>
                <w:szCs w:val="20"/>
              </w:rPr>
            </w:pPr>
            <w:r w:rsidRPr="00E6522E">
              <w:rPr>
                <w:rFonts w:eastAsia="Times New Roman" w:cstheme="minorHAnsi"/>
                <w:color w:val="000000"/>
                <w:sz w:val="20"/>
                <w:szCs w:val="20"/>
              </w:rPr>
              <w:t>(Million GEL)</w:t>
            </w:r>
          </w:p>
        </w:tc>
        <w:tc>
          <w:tcPr>
            <w:tcW w:w="524" w:type="pct"/>
            <w:tcBorders>
              <w:top w:val="single" w:sz="4" w:space="0" w:color="auto"/>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2018</w:t>
            </w:r>
          </w:p>
        </w:tc>
        <w:tc>
          <w:tcPr>
            <w:tcW w:w="524" w:type="pct"/>
            <w:tcBorders>
              <w:top w:val="single" w:sz="4" w:space="0" w:color="auto"/>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2019</w:t>
            </w:r>
          </w:p>
        </w:tc>
        <w:tc>
          <w:tcPr>
            <w:tcW w:w="524" w:type="pct"/>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2020</w:t>
            </w:r>
          </w:p>
        </w:tc>
        <w:tc>
          <w:tcPr>
            <w:tcW w:w="524" w:type="pct"/>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2021</w:t>
            </w:r>
          </w:p>
        </w:tc>
        <w:tc>
          <w:tcPr>
            <w:tcW w:w="524" w:type="pct"/>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2022</w:t>
            </w:r>
          </w:p>
        </w:tc>
      </w:tr>
      <w:tr w:rsidR="004061D7" w:rsidRPr="00E6522E" w:rsidTr="00A21683">
        <w:trPr>
          <w:trHeight w:val="113"/>
        </w:trPr>
        <w:tc>
          <w:tcPr>
            <w:tcW w:w="2380" w:type="pct"/>
            <w:tcBorders>
              <w:top w:val="nil"/>
              <w:left w:val="single" w:sz="4" w:space="0" w:color="auto"/>
              <w:bottom w:val="single" w:sz="4" w:space="0" w:color="auto"/>
              <w:right w:val="single" w:sz="4" w:space="0" w:color="auto"/>
            </w:tcBorders>
            <w:shd w:val="clear" w:color="auto" w:fill="auto"/>
            <w:noWrap/>
            <w:vAlign w:val="bottom"/>
            <w:hideMark/>
          </w:tcPr>
          <w:p w:rsidR="004061D7" w:rsidRPr="00E6522E" w:rsidRDefault="004061D7" w:rsidP="004061D7">
            <w:pPr>
              <w:spacing w:after="0" w:line="240" w:lineRule="auto"/>
              <w:rPr>
                <w:rFonts w:eastAsia="Times New Roman" w:cstheme="minorHAnsi"/>
                <w:color w:val="000000"/>
                <w:sz w:val="20"/>
                <w:szCs w:val="20"/>
              </w:rPr>
            </w:pPr>
            <w:r w:rsidRPr="00E6522E">
              <w:rPr>
                <w:rFonts w:eastAsia="Times New Roman" w:cstheme="minorHAnsi"/>
                <w:color w:val="000000"/>
                <w:sz w:val="20"/>
                <w:szCs w:val="20"/>
              </w:rPr>
              <w:t> </w:t>
            </w:r>
          </w:p>
        </w:tc>
        <w:tc>
          <w:tcPr>
            <w:tcW w:w="524" w:type="pct"/>
            <w:tcBorders>
              <w:top w:val="nil"/>
              <w:left w:val="nil"/>
              <w:bottom w:val="single" w:sz="4" w:space="0" w:color="auto"/>
              <w:right w:val="nil"/>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Actual</w:t>
            </w:r>
          </w:p>
        </w:tc>
        <w:tc>
          <w:tcPr>
            <w:tcW w:w="524" w:type="pct"/>
            <w:tcBorders>
              <w:top w:val="nil"/>
              <w:left w:val="double" w:sz="6" w:space="0" w:color="auto"/>
              <w:bottom w:val="single" w:sz="4" w:space="0" w:color="auto"/>
              <w:right w:val="double" w:sz="6" w:space="0" w:color="auto"/>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Expected</w:t>
            </w:r>
          </w:p>
        </w:tc>
        <w:tc>
          <w:tcPr>
            <w:tcW w:w="524" w:type="pct"/>
            <w:tcBorders>
              <w:top w:val="nil"/>
              <w:left w:val="nil"/>
              <w:bottom w:val="single" w:sz="4" w:space="0" w:color="auto"/>
              <w:right w:val="single" w:sz="4" w:space="0" w:color="auto"/>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Forecast</w:t>
            </w:r>
          </w:p>
        </w:tc>
        <w:tc>
          <w:tcPr>
            <w:tcW w:w="524" w:type="pct"/>
            <w:tcBorders>
              <w:top w:val="nil"/>
              <w:left w:val="nil"/>
              <w:bottom w:val="single" w:sz="4" w:space="0" w:color="auto"/>
              <w:right w:val="single" w:sz="4" w:space="0" w:color="auto"/>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Forecast</w:t>
            </w:r>
          </w:p>
        </w:tc>
        <w:tc>
          <w:tcPr>
            <w:tcW w:w="524" w:type="pct"/>
            <w:tcBorders>
              <w:top w:val="nil"/>
              <w:left w:val="nil"/>
              <w:bottom w:val="single" w:sz="4" w:space="0" w:color="auto"/>
              <w:right w:val="single" w:sz="4" w:space="0" w:color="auto"/>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Forecast</w:t>
            </w:r>
          </w:p>
        </w:tc>
      </w:tr>
      <w:tr w:rsidR="00A21683" w:rsidRPr="00E6522E" w:rsidTr="00A21683">
        <w:trPr>
          <w:trHeight w:val="113"/>
        </w:trPr>
        <w:tc>
          <w:tcPr>
            <w:tcW w:w="2380" w:type="pct"/>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sz w:val="20"/>
                <w:szCs w:val="20"/>
              </w:rPr>
            </w:pPr>
            <w:r w:rsidRPr="00E6522E">
              <w:rPr>
                <w:rFonts w:eastAsia="Times New Roman" w:cstheme="minorHAnsi"/>
                <w:b/>
                <w:bCs/>
                <w:color w:val="000000"/>
                <w:sz w:val="20"/>
                <w:szCs w:val="20"/>
              </w:rPr>
              <w:t>Previous Forecast of Nominal GDP</w:t>
            </w:r>
          </w:p>
        </w:tc>
        <w:tc>
          <w:tcPr>
            <w:tcW w:w="524"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41,527.2</w:t>
            </w:r>
          </w:p>
        </w:tc>
        <w:tc>
          <w:tcPr>
            <w:tcW w:w="524"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44,914.8</w:t>
            </w:r>
          </w:p>
        </w:tc>
        <w:tc>
          <w:tcPr>
            <w:tcW w:w="524"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48,575.3</w:t>
            </w:r>
          </w:p>
        </w:tc>
        <w:tc>
          <w:tcPr>
            <w:tcW w:w="524"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52,784.4</w:t>
            </w:r>
          </w:p>
        </w:tc>
        <w:tc>
          <w:tcPr>
            <w:tcW w:w="524"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57,630.0</w:t>
            </w:r>
          </w:p>
        </w:tc>
      </w:tr>
      <w:tr w:rsidR="00A21683" w:rsidRPr="00E6522E" w:rsidTr="00A21683">
        <w:trPr>
          <w:trHeight w:val="113"/>
        </w:trPr>
        <w:tc>
          <w:tcPr>
            <w:tcW w:w="2380" w:type="pct"/>
            <w:tcBorders>
              <w:top w:val="nil"/>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sz w:val="20"/>
                <w:szCs w:val="20"/>
              </w:rPr>
            </w:pPr>
            <w:r w:rsidRPr="00E6522E">
              <w:rPr>
                <w:rFonts w:eastAsia="Times New Roman" w:cstheme="minorHAnsi"/>
                <w:b/>
                <w:bCs/>
                <w:color w:val="000000"/>
                <w:sz w:val="20"/>
                <w:szCs w:val="20"/>
              </w:rPr>
              <w:t>Total change in Nominal GDP</w:t>
            </w:r>
          </w:p>
        </w:tc>
        <w:tc>
          <w:tcPr>
            <w:tcW w:w="524" w:type="pct"/>
            <w:tcBorders>
              <w:top w:val="nil"/>
              <w:left w:val="nil"/>
              <w:bottom w:val="single" w:sz="4"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3,072.1</w:t>
            </w:r>
          </w:p>
        </w:tc>
        <w:tc>
          <w:tcPr>
            <w:tcW w:w="524" w:type="pct"/>
            <w:tcBorders>
              <w:top w:val="nil"/>
              <w:left w:val="double" w:sz="6" w:space="0" w:color="auto"/>
              <w:bottom w:val="single" w:sz="4"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4,162.3</w:t>
            </w:r>
          </w:p>
        </w:tc>
        <w:tc>
          <w:tcPr>
            <w:tcW w:w="524"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4,505.2</w:t>
            </w:r>
          </w:p>
        </w:tc>
        <w:tc>
          <w:tcPr>
            <w:tcW w:w="524"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4,622.3</w:t>
            </w:r>
          </w:p>
        </w:tc>
        <w:tc>
          <w:tcPr>
            <w:tcW w:w="524"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4,455.3</w:t>
            </w:r>
          </w:p>
        </w:tc>
      </w:tr>
      <w:tr w:rsidR="00A21683" w:rsidRPr="00E6522E" w:rsidTr="00A21683">
        <w:trPr>
          <w:trHeight w:val="113"/>
        </w:trPr>
        <w:tc>
          <w:tcPr>
            <w:tcW w:w="2380" w:type="pct"/>
            <w:tcBorders>
              <w:top w:val="nil"/>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sz w:val="20"/>
                <w:szCs w:val="20"/>
              </w:rPr>
            </w:pPr>
            <w:r w:rsidRPr="00E6522E">
              <w:rPr>
                <w:rFonts w:eastAsia="Times New Roman" w:cstheme="minorHAnsi"/>
                <w:b/>
                <w:bCs/>
                <w:color w:val="000000"/>
                <w:sz w:val="20"/>
                <w:szCs w:val="20"/>
              </w:rPr>
              <w:t>Updated Forecast of Nominal GDP</w:t>
            </w:r>
          </w:p>
        </w:tc>
        <w:tc>
          <w:tcPr>
            <w:tcW w:w="524" w:type="pct"/>
            <w:tcBorders>
              <w:top w:val="nil"/>
              <w:left w:val="nil"/>
              <w:bottom w:val="single" w:sz="4"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44,599.3</w:t>
            </w:r>
          </w:p>
        </w:tc>
        <w:tc>
          <w:tcPr>
            <w:tcW w:w="524" w:type="pct"/>
            <w:tcBorders>
              <w:top w:val="nil"/>
              <w:left w:val="double" w:sz="6" w:space="0" w:color="auto"/>
              <w:bottom w:val="single" w:sz="4"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49,077.1</w:t>
            </w:r>
          </w:p>
        </w:tc>
        <w:tc>
          <w:tcPr>
            <w:tcW w:w="524"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53,080.6</w:t>
            </w:r>
          </w:p>
        </w:tc>
        <w:tc>
          <w:tcPr>
            <w:tcW w:w="524"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57,406.6</w:t>
            </w:r>
          </w:p>
        </w:tc>
        <w:tc>
          <w:tcPr>
            <w:tcW w:w="524"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62,085.3</w:t>
            </w:r>
          </w:p>
        </w:tc>
      </w:tr>
    </w:tbl>
    <w:p w:rsidR="00A21683" w:rsidRPr="00E6522E" w:rsidRDefault="00A21683" w:rsidP="00A21683">
      <w:pPr>
        <w:pStyle w:val="NoSpacing"/>
        <w:jc w:val="both"/>
        <w:rPr>
          <w:rFonts w:cstheme="minorHAnsi"/>
          <w:lang w:val="ka-GE"/>
        </w:rPr>
      </w:pPr>
    </w:p>
    <w:p w:rsidR="00A21683" w:rsidRPr="00E6522E" w:rsidRDefault="00A21683" w:rsidP="00A21683">
      <w:pPr>
        <w:pStyle w:val="NoSpacing"/>
        <w:jc w:val="both"/>
        <w:rPr>
          <w:rFonts w:cstheme="minorHAnsi"/>
        </w:rPr>
      </w:pPr>
      <w:r w:rsidRPr="00E6522E">
        <w:rPr>
          <w:rFonts w:cstheme="minorHAnsi"/>
        </w:rPr>
        <w:t>Table 2 shows the previous and updated forecasts of nominal GDP. As we can see, the new methodology of accounting has increased both actual and projected values of nominal GDP.</w:t>
      </w:r>
    </w:p>
    <w:p w:rsidR="00A21683" w:rsidRPr="00E6522E" w:rsidRDefault="00A21683" w:rsidP="00A21683">
      <w:pPr>
        <w:pStyle w:val="NoSpacing"/>
        <w:jc w:val="both"/>
        <w:rPr>
          <w:rFonts w:cstheme="minorHAnsi"/>
        </w:rPr>
      </w:pPr>
    </w:p>
    <w:tbl>
      <w:tblPr>
        <w:tblW w:w="9639" w:type="dxa"/>
        <w:tblLayout w:type="fixed"/>
        <w:tblLook w:val="04A0" w:firstRow="1" w:lastRow="0" w:firstColumn="1" w:lastColumn="0" w:noHBand="0" w:noVBand="1"/>
      </w:tblPr>
      <w:tblGrid>
        <w:gridCol w:w="4455"/>
        <w:gridCol w:w="981"/>
        <w:gridCol w:w="981"/>
        <w:gridCol w:w="981"/>
        <w:gridCol w:w="1107"/>
        <w:gridCol w:w="1134"/>
      </w:tblGrid>
      <w:tr w:rsidR="00A21683" w:rsidRPr="00E6522E" w:rsidTr="00A21683">
        <w:trPr>
          <w:trHeight w:val="300"/>
        </w:trPr>
        <w:tc>
          <w:tcPr>
            <w:tcW w:w="4455" w:type="dxa"/>
            <w:tcBorders>
              <w:top w:val="nil"/>
              <w:left w:val="nil"/>
              <w:bottom w:val="nil"/>
              <w:right w:val="nil"/>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sz w:val="20"/>
                <w:szCs w:val="20"/>
              </w:rPr>
            </w:pPr>
            <w:r w:rsidRPr="00E6522E">
              <w:rPr>
                <w:rFonts w:eastAsia="Times New Roman" w:cstheme="minorHAnsi"/>
                <w:b/>
                <w:bCs/>
                <w:color w:val="000000"/>
                <w:sz w:val="20"/>
                <w:szCs w:val="20"/>
              </w:rPr>
              <w:t>Table 3. Change in Real GDP</w:t>
            </w:r>
          </w:p>
        </w:tc>
        <w:tc>
          <w:tcPr>
            <w:tcW w:w="981" w:type="dxa"/>
            <w:tcBorders>
              <w:top w:val="nil"/>
              <w:left w:val="nil"/>
              <w:bottom w:val="nil"/>
              <w:right w:val="nil"/>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sz w:val="20"/>
                <w:szCs w:val="20"/>
              </w:rPr>
            </w:pPr>
          </w:p>
        </w:tc>
        <w:tc>
          <w:tcPr>
            <w:tcW w:w="981" w:type="dxa"/>
            <w:tcBorders>
              <w:top w:val="nil"/>
              <w:left w:val="nil"/>
              <w:bottom w:val="nil"/>
              <w:right w:val="nil"/>
            </w:tcBorders>
            <w:shd w:val="clear" w:color="auto" w:fill="auto"/>
            <w:noWrap/>
            <w:vAlign w:val="bottom"/>
            <w:hideMark/>
          </w:tcPr>
          <w:p w:rsidR="00A21683" w:rsidRPr="00E6522E" w:rsidRDefault="00A21683" w:rsidP="00A21683">
            <w:pPr>
              <w:spacing w:after="0" w:line="240" w:lineRule="auto"/>
              <w:rPr>
                <w:rFonts w:eastAsia="Times New Roman" w:cstheme="minorHAnsi"/>
                <w:sz w:val="20"/>
                <w:szCs w:val="20"/>
              </w:rPr>
            </w:pPr>
          </w:p>
        </w:tc>
        <w:tc>
          <w:tcPr>
            <w:tcW w:w="981" w:type="dxa"/>
            <w:tcBorders>
              <w:top w:val="nil"/>
              <w:left w:val="nil"/>
              <w:bottom w:val="nil"/>
              <w:right w:val="nil"/>
            </w:tcBorders>
            <w:shd w:val="clear" w:color="auto" w:fill="auto"/>
            <w:noWrap/>
            <w:vAlign w:val="bottom"/>
            <w:hideMark/>
          </w:tcPr>
          <w:p w:rsidR="00A21683" w:rsidRPr="00E6522E" w:rsidRDefault="00A21683" w:rsidP="00A21683">
            <w:pPr>
              <w:spacing w:after="0" w:line="240" w:lineRule="auto"/>
              <w:rPr>
                <w:rFonts w:eastAsia="Times New Roman" w:cstheme="minorHAnsi"/>
                <w:sz w:val="20"/>
                <w:szCs w:val="20"/>
              </w:rPr>
            </w:pPr>
          </w:p>
        </w:tc>
        <w:tc>
          <w:tcPr>
            <w:tcW w:w="1107" w:type="dxa"/>
            <w:tcBorders>
              <w:top w:val="nil"/>
              <w:left w:val="nil"/>
              <w:bottom w:val="nil"/>
              <w:right w:val="nil"/>
            </w:tcBorders>
            <w:shd w:val="clear" w:color="auto" w:fill="auto"/>
            <w:noWrap/>
            <w:vAlign w:val="bottom"/>
            <w:hideMark/>
          </w:tcPr>
          <w:p w:rsidR="00A21683" w:rsidRPr="00E6522E" w:rsidRDefault="00A21683" w:rsidP="00A21683">
            <w:pPr>
              <w:spacing w:after="0" w:line="240" w:lineRule="auto"/>
              <w:rPr>
                <w:rFonts w:eastAsia="Times New Roman" w:cstheme="minorHAnsi"/>
                <w:sz w:val="20"/>
                <w:szCs w:val="20"/>
              </w:rPr>
            </w:pPr>
          </w:p>
        </w:tc>
        <w:tc>
          <w:tcPr>
            <w:tcW w:w="1134" w:type="dxa"/>
            <w:tcBorders>
              <w:top w:val="nil"/>
              <w:left w:val="nil"/>
              <w:bottom w:val="nil"/>
              <w:right w:val="nil"/>
            </w:tcBorders>
            <w:shd w:val="clear" w:color="auto" w:fill="auto"/>
            <w:noWrap/>
            <w:vAlign w:val="bottom"/>
            <w:hideMark/>
          </w:tcPr>
          <w:p w:rsidR="00A21683" w:rsidRPr="00E6522E" w:rsidRDefault="00A21683" w:rsidP="00A21683">
            <w:pPr>
              <w:spacing w:after="0" w:line="240" w:lineRule="auto"/>
              <w:rPr>
                <w:rFonts w:eastAsia="Times New Roman" w:cstheme="minorHAnsi"/>
                <w:sz w:val="20"/>
                <w:szCs w:val="20"/>
              </w:rPr>
            </w:pPr>
          </w:p>
        </w:tc>
      </w:tr>
      <w:tr w:rsidR="00A21683" w:rsidRPr="00E6522E" w:rsidTr="00A21683">
        <w:trPr>
          <w:trHeight w:val="300"/>
        </w:trPr>
        <w:tc>
          <w:tcPr>
            <w:tcW w:w="4455" w:type="dxa"/>
            <w:tcBorders>
              <w:top w:val="single" w:sz="4" w:space="0" w:color="auto"/>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sz w:val="20"/>
                <w:szCs w:val="20"/>
              </w:rPr>
            </w:pPr>
            <w:r w:rsidRPr="00E6522E">
              <w:rPr>
                <w:rFonts w:eastAsia="Times New Roman" w:cstheme="minorHAnsi"/>
                <w:b/>
                <w:bCs/>
                <w:color w:val="000000"/>
                <w:sz w:val="20"/>
                <w:szCs w:val="20"/>
              </w:rPr>
              <w:t> </w:t>
            </w:r>
          </w:p>
        </w:tc>
        <w:tc>
          <w:tcPr>
            <w:tcW w:w="981" w:type="dxa"/>
            <w:tcBorders>
              <w:top w:val="single" w:sz="4" w:space="0" w:color="auto"/>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2018</w:t>
            </w:r>
          </w:p>
        </w:tc>
        <w:tc>
          <w:tcPr>
            <w:tcW w:w="981" w:type="dxa"/>
            <w:tcBorders>
              <w:top w:val="single" w:sz="4" w:space="0" w:color="auto"/>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2019</w:t>
            </w:r>
          </w:p>
        </w:tc>
        <w:tc>
          <w:tcPr>
            <w:tcW w:w="981" w:type="dxa"/>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2020</w:t>
            </w:r>
          </w:p>
        </w:tc>
        <w:tc>
          <w:tcPr>
            <w:tcW w:w="1107" w:type="dxa"/>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2021</w:t>
            </w:r>
          </w:p>
        </w:tc>
        <w:tc>
          <w:tcPr>
            <w:tcW w:w="1134" w:type="dxa"/>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2022</w:t>
            </w:r>
          </w:p>
        </w:tc>
      </w:tr>
      <w:tr w:rsidR="004061D7" w:rsidRPr="00E6522E" w:rsidTr="00A21683">
        <w:trPr>
          <w:trHeight w:val="300"/>
        </w:trPr>
        <w:tc>
          <w:tcPr>
            <w:tcW w:w="4455" w:type="dxa"/>
            <w:tcBorders>
              <w:top w:val="nil"/>
              <w:left w:val="single" w:sz="4" w:space="0" w:color="auto"/>
              <w:bottom w:val="single" w:sz="4" w:space="0" w:color="auto"/>
              <w:right w:val="single" w:sz="4" w:space="0" w:color="auto"/>
            </w:tcBorders>
            <w:shd w:val="clear" w:color="auto" w:fill="auto"/>
            <w:noWrap/>
            <w:vAlign w:val="bottom"/>
            <w:hideMark/>
          </w:tcPr>
          <w:p w:rsidR="004061D7" w:rsidRPr="00E6522E" w:rsidRDefault="004061D7" w:rsidP="004061D7">
            <w:pPr>
              <w:spacing w:after="0" w:line="240" w:lineRule="auto"/>
              <w:rPr>
                <w:rFonts w:eastAsia="Times New Roman" w:cstheme="minorHAnsi"/>
                <w:color w:val="000000"/>
                <w:sz w:val="20"/>
                <w:szCs w:val="20"/>
              </w:rPr>
            </w:pPr>
            <w:r w:rsidRPr="00E6522E">
              <w:rPr>
                <w:rFonts w:eastAsia="Times New Roman" w:cstheme="minorHAnsi"/>
                <w:color w:val="000000"/>
                <w:sz w:val="20"/>
                <w:szCs w:val="20"/>
              </w:rPr>
              <w:t> </w:t>
            </w:r>
          </w:p>
        </w:tc>
        <w:tc>
          <w:tcPr>
            <w:tcW w:w="981" w:type="dxa"/>
            <w:tcBorders>
              <w:top w:val="nil"/>
              <w:left w:val="nil"/>
              <w:bottom w:val="single" w:sz="4" w:space="0" w:color="auto"/>
              <w:right w:val="nil"/>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Actual</w:t>
            </w:r>
          </w:p>
        </w:tc>
        <w:tc>
          <w:tcPr>
            <w:tcW w:w="981" w:type="dxa"/>
            <w:tcBorders>
              <w:top w:val="nil"/>
              <w:left w:val="double" w:sz="6" w:space="0" w:color="auto"/>
              <w:bottom w:val="single" w:sz="4" w:space="0" w:color="auto"/>
              <w:right w:val="double" w:sz="6" w:space="0" w:color="auto"/>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Expected</w:t>
            </w:r>
          </w:p>
        </w:tc>
        <w:tc>
          <w:tcPr>
            <w:tcW w:w="981" w:type="dxa"/>
            <w:tcBorders>
              <w:top w:val="nil"/>
              <w:left w:val="nil"/>
              <w:bottom w:val="single" w:sz="4" w:space="0" w:color="auto"/>
              <w:right w:val="single" w:sz="4" w:space="0" w:color="auto"/>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Forecast</w:t>
            </w:r>
          </w:p>
        </w:tc>
        <w:tc>
          <w:tcPr>
            <w:tcW w:w="1107" w:type="dxa"/>
            <w:tcBorders>
              <w:top w:val="nil"/>
              <w:left w:val="nil"/>
              <w:bottom w:val="single" w:sz="4" w:space="0" w:color="auto"/>
              <w:right w:val="single" w:sz="4" w:space="0" w:color="auto"/>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Forecast</w:t>
            </w:r>
          </w:p>
        </w:tc>
        <w:tc>
          <w:tcPr>
            <w:tcW w:w="1134" w:type="dxa"/>
            <w:tcBorders>
              <w:top w:val="nil"/>
              <w:left w:val="nil"/>
              <w:bottom w:val="single" w:sz="4" w:space="0" w:color="auto"/>
              <w:right w:val="single" w:sz="4" w:space="0" w:color="auto"/>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Forecast</w:t>
            </w:r>
          </w:p>
        </w:tc>
      </w:tr>
      <w:tr w:rsidR="00A21683" w:rsidRPr="00E6522E" w:rsidTr="00A21683">
        <w:trPr>
          <w:trHeight w:val="300"/>
        </w:trPr>
        <w:tc>
          <w:tcPr>
            <w:tcW w:w="4455" w:type="dxa"/>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sz w:val="20"/>
                <w:szCs w:val="20"/>
              </w:rPr>
            </w:pPr>
            <w:r w:rsidRPr="00E6522E">
              <w:rPr>
                <w:rFonts w:eastAsia="Times New Roman" w:cstheme="minorHAnsi"/>
                <w:b/>
                <w:bCs/>
                <w:color w:val="000000"/>
                <w:sz w:val="20"/>
                <w:szCs w:val="20"/>
              </w:rPr>
              <w:t>Previous Forecast of Real GDP</w:t>
            </w:r>
          </w:p>
        </w:tc>
        <w:tc>
          <w:tcPr>
            <w:tcW w:w="981" w:type="dxa"/>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16,822.9</w:t>
            </w:r>
          </w:p>
        </w:tc>
        <w:tc>
          <w:tcPr>
            <w:tcW w:w="981" w:type="dxa"/>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17,579.9</w:t>
            </w:r>
          </w:p>
        </w:tc>
        <w:tc>
          <w:tcPr>
            <w:tcW w:w="981"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18,458.9</w:t>
            </w:r>
          </w:p>
        </w:tc>
        <w:tc>
          <w:tcPr>
            <w:tcW w:w="1107"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19,474.1</w:t>
            </w:r>
          </w:p>
        </w:tc>
        <w:tc>
          <w:tcPr>
            <w:tcW w:w="1134"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20,642.6</w:t>
            </w:r>
          </w:p>
        </w:tc>
      </w:tr>
      <w:tr w:rsidR="00A21683" w:rsidRPr="00E6522E" w:rsidTr="00A21683">
        <w:trPr>
          <w:trHeight w:val="300"/>
        </w:trPr>
        <w:tc>
          <w:tcPr>
            <w:tcW w:w="4455" w:type="dxa"/>
            <w:tcBorders>
              <w:top w:val="nil"/>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sz w:val="20"/>
                <w:szCs w:val="20"/>
              </w:rPr>
            </w:pPr>
            <w:r w:rsidRPr="00E6522E">
              <w:rPr>
                <w:rFonts w:eastAsia="Times New Roman" w:cstheme="minorHAnsi"/>
                <w:b/>
                <w:bCs/>
                <w:color w:val="000000"/>
                <w:sz w:val="20"/>
                <w:szCs w:val="20"/>
              </w:rPr>
              <w:t>Total change in Real GDP</w:t>
            </w:r>
          </w:p>
        </w:tc>
        <w:tc>
          <w:tcPr>
            <w:tcW w:w="981" w:type="dxa"/>
            <w:tcBorders>
              <w:top w:val="nil"/>
              <w:left w:val="nil"/>
              <w:bottom w:val="single" w:sz="4"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21,562.6</w:t>
            </w:r>
          </w:p>
        </w:tc>
        <w:tc>
          <w:tcPr>
            <w:tcW w:w="981" w:type="dxa"/>
            <w:tcBorders>
              <w:top w:val="nil"/>
              <w:left w:val="double" w:sz="6" w:space="0" w:color="auto"/>
              <w:bottom w:val="single" w:sz="4"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22,648.1</w:t>
            </w:r>
          </w:p>
        </w:tc>
        <w:tc>
          <w:tcPr>
            <w:tcW w:w="981" w:type="dxa"/>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23,579.4</w:t>
            </w:r>
          </w:p>
        </w:tc>
        <w:tc>
          <w:tcPr>
            <w:tcW w:w="1107" w:type="dxa"/>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24,666.1</w:t>
            </w:r>
          </w:p>
        </w:tc>
        <w:tc>
          <w:tcPr>
            <w:tcW w:w="1134" w:type="dxa"/>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25,704.7</w:t>
            </w:r>
          </w:p>
        </w:tc>
      </w:tr>
      <w:tr w:rsidR="00A21683" w:rsidRPr="00E6522E" w:rsidTr="00A21683">
        <w:trPr>
          <w:trHeight w:val="300"/>
        </w:trPr>
        <w:tc>
          <w:tcPr>
            <w:tcW w:w="4455" w:type="dxa"/>
            <w:tcBorders>
              <w:top w:val="nil"/>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sz w:val="20"/>
                <w:szCs w:val="20"/>
              </w:rPr>
            </w:pPr>
            <w:r w:rsidRPr="00E6522E">
              <w:rPr>
                <w:rFonts w:eastAsia="Times New Roman" w:cstheme="minorHAnsi"/>
                <w:b/>
                <w:bCs/>
                <w:color w:val="000000"/>
                <w:sz w:val="20"/>
                <w:szCs w:val="20"/>
              </w:rPr>
              <w:t>Updated Forecast of Real GDP</w:t>
            </w:r>
          </w:p>
        </w:tc>
        <w:tc>
          <w:tcPr>
            <w:tcW w:w="981" w:type="dxa"/>
            <w:tcBorders>
              <w:top w:val="nil"/>
              <w:left w:val="nil"/>
              <w:bottom w:val="single" w:sz="4"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38,385.5</w:t>
            </w:r>
          </w:p>
        </w:tc>
        <w:tc>
          <w:tcPr>
            <w:tcW w:w="981" w:type="dxa"/>
            <w:tcBorders>
              <w:top w:val="nil"/>
              <w:left w:val="double" w:sz="6" w:space="0" w:color="auto"/>
              <w:bottom w:val="single" w:sz="4"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40,228.0</w:t>
            </w:r>
          </w:p>
        </w:tc>
        <w:tc>
          <w:tcPr>
            <w:tcW w:w="981" w:type="dxa"/>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42,038.3</w:t>
            </w:r>
          </w:p>
        </w:tc>
        <w:tc>
          <w:tcPr>
            <w:tcW w:w="1107" w:type="dxa"/>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44,140.2</w:t>
            </w:r>
          </w:p>
        </w:tc>
        <w:tc>
          <w:tcPr>
            <w:tcW w:w="1134" w:type="dxa"/>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46,347.2</w:t>
            </w:r>
          </w:p>
        </w:tc>
      </w:tr>
    </w:tbl>
    <w:p w:rsidR="00A21683" w:rsidRPr="00E6522E" w:rsidRDefault="00A21683" w:rsidP="00A21683">
      <w:pPr>
        <w:pStyle w:val="NoSpacing"/>
        <w:jc w:val="both"/>
        <w:rPr>
          <w:rFonts w:cstheme="minorHAnsi"/>
        </w:rPr>
      </w:pPr>
    </w:p>
    <w:p w:rsidR="00A21683" w:rsidRPr="00E6522E" w:rsidRDefault="00A21683" w:rsidP="00A21683">
      <w:pPr>
        <w:pStyle w:val="NoSpacing"/>
        <w:jc w:val="both"/>
        <w:rPr>
          <w:rFonts w:cstheme="minorHAnsi"/>
          <w:lang w:val="ka-GE"/>
        </w:rPr>
      </w:pPr>
    </w:p>
    <w:tbl>
      <w:tblPr>
        <w:tblW w:w="5017" w:type="pct"/>
        <w:tblInd w:w="-5" w:type="dxa"/>
        <w:tblLayout w:type="fixed"/>
        <w:tblLook w:val="04A0" w:firstRow="1" w:lastRow="0" w:firstColumn="1" w:lastColumn="0" w:noHBand="0" w:noVBand="1"/>
      </w:tblPr>
      <w:tblGrid>
        <w:gridCol w:w="4382"/>
        <w:gridCol w:w="13"/>
        <w:gridCol w:w="995"/>
        <w:gridCol w:w="991"/>
        <w:gridCol w:w="991"/>
        <w:gridCol w:w="1136"/>
        <w:gridCol w:w="1132"/>
      </w:tblGrid>
      <w:tr w:rsidR="00A21683" w:rsidRPr="00E6522E" w:rsidTr="00A21683">
        <w:trPr>
          <w:trHeight w:val="315"/>
        </w:trPr>
        <w:tc>
          <w:tcPr>
            <w:tcW w:w="2273" w:type="pct"/>
            <w:tcBorders>
              <w:top w:val="double" w:sz="6" w:space="0" w:color="auto"/>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sz w:val="18"/>
              </w:rPr>
            </w:pPr>
            <w:r w:rsidRPr="00E6522E">
              <w:rPr>
                <w:rFonts w:eastAsia="Times New Roman" w:cstheme="minorHAnsi"/>
                <w:b/>
                <w:bCs/>
                <w:color w:val="000000"/>
                <w:sz w:val="20"/>
                <w:szCs w:val="20"/>
              </w:rPr>
              <w:t>Table 4. General Government Budget</w:t>
            </w:r>
          </w:p>
        </w:tc>
        <w:tc>
          <w:tcPr>
            <w:tcW w:w="523" w:type="pct"/>
            <w:gridSpan w:val="2"/>
            <w:tcBorders>
              <w:top w:val="double" w:sz="6" w:space="0" w:color="auto"/>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p>
        </w:tc>
        <w:tc>
          <w:tcPr>
            <w:tcW w:w="514" w:type="pct"/>
            <w:tcBorders>
              <w:top w:val="double" w:sz="6" w:space="0" w:color="auto"/>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p>
        </w:tc>
        <w:tc>
          <w:tcPr>
            <w:tcW w:w="514" w:type="pct"/>
            <w:tcBorders>
              <w:top w:val="double" w:sz="6"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p>
        </w:tc>
        <w:tc>
          <w:tcPr>
            <w:tcW w:w="589" w:type="pct"/>
            <w:tcBorders>
              <w:top w:val="double" w:sz="6"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p>
        </w:tc>
        <w:tc>
          <w:tcPr>
            <w:tcW w:w="587" w:type="pct"/>
            <w:tcBorders>
              <w:top w:val="double" w:sz="6"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p>
        </w:tc>
      </w:tr>
      <w:tr w:rsidR="00A21683" w:rsidRPr="00E6522E" w:rsidTr="00A21683">
        <w:trPr>
          <w:trHeight w:val="315"/>
        </w:trPr>
        <w:tc>
          <w:tcPr>
            <w:tcW w:w="2273" w:type="pct"/>
            <w:tcBorders>
              <w:top w:val="nil"/>
              <w:left w:val="single" w:sz="4" w:space="0" w:color="auto"/>
              <w:bottom w:val="double" w:sz="6" w:space="0" w:color="auto"/>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color w:val="000000"/>
                <w:sz w:val="18"/>
              </w:rPr>
            </w:pPr>
            <w:r w:rsidRPr="00E6522E">
              <w:rPr>
                <w:rFonts w:eastAsia="Times New Roman" w:cstheme="minorHAnsi"/>
                <w:color w:val="000000"/>
                <w:sz w:val="20"/>
                <w:szCs w:val="20"/>
              </w:rPr>
              <w:t>(Million GEL)</w:t>
            </w:r>
          </w:p>
        </w:tc>
        <w:tc>
          <w:tcPr>
            <w:tcW w:w="523" w:type="pct"/>
            <w:gridSpan w:val="2"/>
            <w:tcBorders>
              <w:top w:val="nil"/>
              <w:left w:val="nil"/>
              <w:bottom w:val="double" w:sz="6"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2018</w:t>
            </w:r>
          </w:p>
        </w:tc>
        <w:tc>
          <w:tcPr>
            <w:tcW w:w="514" w:type="pct"/>
            <w:tcBorders>
              <w:top w:val="nil"/>
              <w:left w:val="double" w:sz="6" w:space="0" w:color="auto"/>
              <w:bottom w:val="double" w:sz="6"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2019</w:t>
            </w:r>
          </w:p>
        </w:tc>
        <w:tc>
          <w:tcPr>
            <w:tcW w:w="514" w:type="pct"/>
            <w:tcBorders>
              <w:top w:val="nil"/>
              <w:left w:val="nil"/>
              <w:bottom w:val="double" w:sz="6"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2020</w:t>
            </w:r>
          </w:p>
        </w:tc>
        <w:tc>
          <w:tcPr>
            <w:tcW w:w="589" w:type="pct"/>
            <w:tcBorders>
              <w:top w:val="nil"/>
              <w:left w:val="nil"/>
              <w:bottom w:val="double" w:sz="6"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2021</w:t>
            </w:r>
          </w:p>
        </w:tc>
        <w:tc>
          <w:tcPr>
            <w:tcW w:w="587" w:type="pct"/>
            <w:tcBorders>
              <w:top w:val="nil"/>
              <w:left w:val="nil"/>
              <w:bottom w:val="double" w:sz="6"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2022</w:t>
            </w:r>
          </w:p>
        </w:tc>
      </w:tr>
      <w:tr w:rsidR="004061D7" w:rsidRPr="00E6522E" w:rsidTr="00A21683">
        <w:trPr>
          <w:trHeight w:val="315"/>
        </w:trPr>
        <w:tc>
          <w:tcPr>
            <w:tcW w:w="2273" w:type="pct"/>
            <w:tcBorders>
              <w:top w:val="nil"/>
              <w:left w:val="single" w:sz="4" w:space="0" w:color="auto"/>
              <w:bottom w:val="nil"/>
              <w:right w:val="single" w:sz="4" w:space="0" w:color="auto"/>
            </w:tcBorders>
            <w:shd w:val="clear" w:color="auto" w:fill="auto"/>
            <w:noWrap/>
            <w:vAlign w:val="bottom"/>
            <w:hideMark/>
          </w:tcPr>
          <w:p w:rsidR="004061D7" w:rsidRPr="00E6522E" w:rsidRDefault="004061D7" w:rsidP="004061D7">
            <w:pPr>
              <w:spacing w:after="0" w:line="240" w:lineRule="auto"/>
              <w:rPr>
                <w:rFonts w:eastAsia="Times New Roman" w:cstheme="minorHAnsi"/>
                <w:b/>
                <w:bCs/>
                <w:color w:val="000000"/>
                <w:sz w:val="18"/>
                <w:szCs w:val="20"/>
              </w:rPr>
            </w:pPr>
            <w:r w:rsidRPr="00E6522E">
              <w:rPr>
                <w:rFonts w:eastAsia="Times New Roman" w:cstheme="minorHAnsi"/>
                <w:b/>
                <w:bCs/>
                <w:color w:val="000000"/>
                <w:sz w:val="18"/>
                <w:szCs w:val="20"/>
              </w:rPr>
              <w:t> </w:t>
            </w:r>
          </w:p>
        </w:tc>
        <w:tc>
          <w:tcPr>
            <w:tcW w:w="523" w:type="pct"/>
            <w:gridSpan w:val="2"/>
            <w:tcBorders>
              <w:top w:val="nil"/>
              <w:left w:val="nil"/>
              <w:bottom w:val="nil"/>
              <w:right w:val="nil"/>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Actual</w:t>
            </w:r>
          </w:p>
        </w:tc>
        <w:tc>
          <w:tcPr>
            <w:tcW w:w="514" w:type="pct"/>
            <w:tcBorders>
              <w:top w:val="nil"/>
              <w:left w:val="double" w:sz="6" w:space="0" w:color="auto"/>
              <w:bottom w:val="nil"/>
              <w:right w:val="double" w:sz="6" w:space="0" w:color="auto"/>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Expected</w:t>
            </w:r>
          </w:p>
        </w:tc>
        <w:tc>
          <w:tcPr>
            <w:tcW w:w="514" w:type="pct"/>
            <w:tcBorders>
              <w:top w:val="nil"/>
              <w:left w:val="nil"/>
              <w:bottom w:val="nil"/>
              <w:right w:val="single" w:sz="4" w:space="0" w:color="auto"/>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Forecast</w:t>
            </w:r>
          </w:p>
        </w:tc>
        <w:tc>
          <w:tcPr>
            <w:tcW w:w="589" w:type="pct"/>
            <w:tcBorders>
              <w:top w:val="nil"/>
              <w:left w:val="nil"/>
              <w:bottom w:val="nil"/>
              <w:right w:val="single" w:sz="4" w:space="0" w:color="auto"/>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Forecast</w:t>
            </w:r>
          </w:p>
        </w:tc>
        <w:tc>
          <w:tcPr>
            <w:tcW w:w="587" w:type="pct"/>
            <w:tcBorders>
              <w:top w:val="nil"/>
              <w:left w:val="nil"/>
              <w:bottom w:val="nil"/>
              <w:right w:val="single" w:sz="4" w:space="0" w:color="auto"/>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Forecast</w:t>
            </w:r>
          </w:p>
        </w:tc>
      </w:tr>
      <w:tr w:rsidR="00A21683" w:rsidRPr="00E6522E" w:rsidTr="00A21683">
        <w:trPr>
          <w:trHeight w:val="300"/>
        </w:trPr>
        <w:tc>
          <w:tcPr>
            <w:tcW w:w="2273" w:type="pct"/>
            <w:tcBorders>
              <w:top w:val="single" w:sz="4" w:space="0" w:color="auto"/>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sz w:val="18"/>
              </w:rPr>
            </w:pPr>
            <w:r w:rsidRPr="00E6522E">
              <w:rPr>
                <w:rFonts w:eastAsia="Times New Roman" w:cstheme="minorHAnsi"/>
                <w:b/>
                <w:bCs/>
                <w:color w:val="000000"/>
                <w:sz w:val="18"/>
                <w:szCs w:val="20"/>
              </w:rPr>
              <w:t>Previous Forecasts of Revenues</w:t>
            </w:r>
          </w:p>
        </w:tc>
        <w:tc>
          <w:tcPr>
            <w:tcW w:w="523" w:type="pct"/>
            <w:gridSpan w:val="2"/>
            <w:tcBorders>
              <w:top w:val="single" w:sz="4" w:space="0" w:color="auto"/>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11,624.0</w:t>
            </w:r>
          </w:p>
        </w:tc>
        <w:tc>
          <w:tcPr>
            <w:tcW w:w="514" w:type="pct"/>
            <w:tcBorders>
              <w:top w:val="single" w:sz="4" w:space="0" w:color="auto"/>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12,578.0</w:t>
            </w:r>
          </w:p>
        </w:tc>
        <w:tc>
          <w:tcPr>
            <w:tcW w:w="514" w:type="pct"/>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13,402.0</w:t>
            </w:r>
          </w:p>
        </w:tc>
        <w:tc>
          <w:tcPr>
            <w:tcW w:w="589" w:type="pct"/>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14,250.0</w:t>
            </w:r>
          </w:p>
        </w:tc>
        <w:tc>
          <w:tcPr>
            <w:tcW w:w="587" w:type="pct"/>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15,340.0</w:t>
            </w:r>
          </w:p>
        </w:tc>
      </w:tr>
      <w:tr w:rsidR="00A21683" w:rsidRPr="00E6522E" w:rsidTr="00A21683">
        <w:trPr>
          <w:trHeight w:val="315"/>
        </w:trPr>
        <w:tc>
          <w:tcPr>
            <w:tcW w:w="2273" w:type="pct"/>
            <w:tcBorders>
              <w:top w:val="nil"/>
              <w:left w:val="single" w:sz="4" w:space="0" w:color="auto"/>
              <w:bottom w:val="double" w:sz="6" w:space="0" w:color="auto"/>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sz w:val="18"/>
                <w:szCs w:val="20"/>
              </w:rPr>
            </w:pPr>
            <w:r w:rsidRPr="00E6522E">
              <w:rPr>
                <w:rFonts w:eastAsia="Times New Roman" w:cstheme="minorHAnsi"/>
                <w:b/>
                <w:bCs/>
                <w:color w:val="000000"/>
                <w:sz w:val="18"/>
                <w:szCs w:val="20"/>
              </w:rPr>
              <w:t>Total Changes</w:t>
            </w:r>
          </w:p>
        </w:tc>
        <w:tc>
          <w:tcPr>
            <w:tcW w:w="523" w:type="pct"/>
            <w:gridSpan w:val="2"/>
            <w:tcBorders>
              <w:top w:val="nil"/>
              <w:left w:val="nil"/>
              <w:bottom w:val="double" w:sz="6"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198.2</w:t>
            </w:r>
          </w:p>
        </w:tc>
        <w:tc>
          <w:tcPr>
            <w:tcW w:w="514" w:type="pct"/>
            <w:tcBorders>
              <w:top w:val="nil"/>
              <w:left w:val="double" w:sz="6" w:space="0" w:color="auto"/>
              <w:bottom w:val="double" w:sz="6"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127.0</w:t>
            </w:r>
          </w:p>
        </w:tc>
        <w:tc>
          <w:tcPr>
            <w:tcW w:w="514" w:type="pct"/>
            <w:tcBorders>
              <w:top w:val="nil"/>
              <w:left w:val="nil"/>
              <w:bottom w:val="double" w:sz="6"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210.0</w:t>
            </w:r>
          </w:p>
        </w:tc>
        <w:tc>
          <w:tcPr>
            <w:tcW w:w="589" w:type="pct"/>
            <w:tcBorders>
              <w:top w:val="nil"/>
              <w:left w:val="nil"/>
              <w:bottom w:val="double" w:sz="6"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501.0</w:t>
            </w:r>
          </w:p>
        </w:tc>
        <w:tc>
          <w:tcPr>
            <w:tcW w:w="587" w:type="pct"/>
            <w:tcBorders>
              <w:top w:val="nil"/>
              <w:left w:val="nil"/>
              <w:bottom w:val="double" w:sz="6"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465.0</w:t>
            </w:r>
          </w:p>
        </w:tc>
      </w:tr>
      <w:tr w:rsidR="00A21683" w:rsidRPr="00E6522E" w:rsidTr="00A21683">
        <w:trPr>
          <w:trHeight w:val="315"/>
        </w:trPr>
        <w:tc>
          <w:tcPr>
            <w:tcW w:w="2273" w:type="pct"/>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sz w:val="18"/>
                <w:szCs w:val="20"/>
              </w:rPr>
            </w:pPr>
            <w:r w:rsidRPr="00E6522E">
              <w:rPr>
                <w:rFonts w:eastAsia="Times New Roman" w:cstheme="minorHAnsi"/>
                <w:b/>
                <w:bCs/>
                <w:color w:val="000000"/>
                <w:sz w:val="18"/>
                <w:szCs w:val="20"/>
              </w:rPr>
              <w:t>Taxes</w:t>
            </w:r>
          </w:p>
        </w:tc>
        <w:tc>
          <w:tcPr>
            <w:tcW w:w="523" w:type="pct"/>
            <w:gridSpan w:val="2"/>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6.3</w:t>
            </w:r>
          </w:p>
        </w:tc>
        <w:tc>
          <w:tcPr>
            <w:tcW w:w="514"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30.0</w:t>
            </w:r>
          </w:p>
        </w:tc>
        <w:tc>
          <w:tcPr>
            <w:tcW w:w="514"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173.0</w:t>
            </w:r>
          </w:p>
        </w:tc>
        <w:tc>
          <w:tcPr>
            <w:tcW w:w="589"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282.0</w:t>
            </w:r>
          </w:p>
        </w:tc>
        <w:tc>
          <w:tcPr>
            <w:tcW w:w="58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367.0</w:t>
            </w:r>
          </w:p>
        </w:tc>
      </w:tr>
      <w:tr w:rsidR="00A21683" w:rsidRPr="00E6522E" w:rsidTr="00A21683">
        <w:trPr>
          <w:trHeight w:val="300"/>
        </w:trPr>
        <w:tc>
          <w:tcPr>
            <w:tcW w:w="2273" w:type="pct"/>
            <w:tcBorders>
              <w:top w:val="single" w:sz="4" w:space="0" w:color="auto"/>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sz w:val="18"/>
                <w:szCs w:val="20"/>
              </w:rPr>
            </w:pPr>
            <w:r w:rsidRPr="00E6522E">
              <w:rPr>
                <w:rFonts w:eastAsia="Times New Roman" w:cstheme="minorHAnsi"/>
                <w:b/>
                <w:bCs/>
                <w:color w:val="000000"/>
                <w:sz w:val="18"/>
                <w:szCs w:val="20"/>
              </w:rPr>
              <w:t>Grants</w:t>
            </w:r>
          </w:p>
        </w:tc>
        <w:tc>
          <w:tcPr>
            <w:tcW w:w="523" w:type="pct"/>
            <w:gridSpan w:val="2"/>
            <w:tcBorders>
              <w:top w:val="single" w:sz="4" w:space="0" w:color="auto"/>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86.9</w:t>
            </w:r>
          </w:p>
        </w:tc>
        <w:tc>
          <w:tcPr>
            <w:tcW w:w="514" w:type="pct"/>
            <w:tcBorders>
              <w:top w:val="single" w:sz="4" w:space="0" w:color="auto"/>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72.0</w:t>
            </w:r>
          </w:p>
        </w:tc>
        <w:tc>
          <w:tcPr>
            <w:tcW w:w="514" w:type="pct"/>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-63.0</w:t>
            </w:r>
          </w:p>
        </w:tc>
        <w:tc>
          <w:tcPr>
            <w:tcW w:w="589" w:type="pct"/>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3.0</w:t>
            </w:r>
          </w:p>
        </w:tc>
        <w:tc>
          <w:tcPr>
            <w:tcW w:w="587" w:type="pct"/>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18.0</w:t>
            </w:r>
          </w:p>
        </w:tc>
      </w:tr>
      <w:tr w:rsidR="00A21683" w:rsidRPr="00E6522E" w:rsidTr="00A21683">
        <w:trPr>
          <w:trHeight w:val="300"/>
        </w:trPr>
        <w:tc>
          <w:tcPr>
            <w:tcW w:w="2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181"/>
              <w:rPr>
                <w:rFonts w:eastAsia="Times New Roman" w:cstheme="minorHAnsi"/>
                <w:b/>
                <w:color w:val="000000"/>
                <w:sz w:val="18"/>
              </w:rPr>
            </w:pPr>
            <w:r w:rsidRPr="00E6522E">
              <w:rPr>
                <w:rFonts w:eastAsia="Times New Roman" w:cstheme="minorHAnsi"/>
                <w:b/>
                <w:bCs/>
                <w:color w:val="000000"/>
                <w:sz w:val="18"/>
                <w:szCs w:val="20"/>
              </w:rPr>
              <w:t>Other Revenues</w:t>
            </w:r>
          </w:p>
        </w:tc>
        <w:tc>
          <w:tcPr>
            <w:tcW w:w="523" w:type="pct"/>
            <w:gridSpan w:val="2"/>
            <w:tcBorders>
              <w:top w:val="single" w:sz="4" w:space="0" w:color="auto"/>
              <w:left w:val="single" w:sz="4" w:space="0" w:color="auto"/>
              <w:bottom w:val="single" w:sz="4"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104.9</w:t>
            </w:r>
          </w:p>
        </w:tc>
        <w:tc>
          <w:tcPr>
            <w:tcW w:w="514" w:type="pct"/>
            <w:tcBorders>
              <w:top w:val="single" w:sz="4" w:space="0" w:color="auto"/>
              <w:left w:val="double" w:sz="6" w:space="0" w:color="auto"/>
              <w:bottom w:val="single" w:sz="4"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25.0</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100.0</w:t>
            </w:r>
          </w:p>
        </w:tc>
        <w:tc>
          <w:tcPr>
            <w:tcW w:w="5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216.0</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80.0</w:t>
            </w:r>
          </w:p>
        </w:tc>
      </w:tr>
      <w:tr w:rsidR="00A21683" w:rsidRPr="00E6522E" w:rsidTr="00A21683">
        <w:trPr>
          <w:trHeight w:val="300"/>
        </w:trPr>
        <w:tc>
          <w:tcPr>
            <w:tcW w:w="2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181"/>
              <w:rPr>
                <w:rFonts w:eastAsia="Times New Roman" w:cstheme="minorHAnsi"/>
                <w:b/>
                <w:bCs/>
                <w:color w:val="000000"/>
                <w:sz w:val="18"/>
                <w:szCs w:val="20"/>
              </w:rPr>
            </w:pPr>
            <w:r w:rsidRPr="00E6522E">
              <w:rPr>
                <w:rFonts w:eastAsia="Times New Roman" w:cstheme="minorHAnsi"/>
                <w:b/>
                <w:bCs/>
                <w:color w:val="000000"/>
                <w:sz w:val="18"/>
                <w:szCs w:val="20"/>
              </w:rPr>
              <w:t>Updated Forecasts of Revenues</w:t>
            </w:r>
          </w:p>
        </w:tc>
        <w:tc>
          <w:tcPr>
            <w:tcW w:w="523" w:type="pct"/>
            <w:gridSpan w:val="2"/>
            <w:tcBorders>
              <w:top w:val="single" w:sz="4" w:space="0" w:color="auto"/>
              <w:left w:val="single" w:sz="4" w:space="0" w:color="auto"/>
              <w:bottom w:val="single" w:sz="4"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11,822.2</w:t>
            </w:r>
          </w:p>
        </w:tc>
        <w:tc>
          <w:tcPr>
            <w:tcW w:w="514" w:type="pct"/>
            <w:tcBorders>
              <w:top w:val="single" w:sz="4" w:space="0" w:color="auto"/>
              <w:left w:val="double" w:sz="6" w:space="0" w:color="auto"/>
              <w:bottom w:val="single" w:sz="4"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12,705.0</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13,612.0</w:t>
            </w:r>
          </w:p>
        </w:tc>
        <w:tc>
          <w:tcPr>
            <w:tcW w:w="5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14,751.0</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15,805.0</w:t>
            </w:r>
          </w:p>
        </w:tc>
      </w:tr>
      <w:tr w:rsidR="00A21683" w:rsidRPr="00E6522E" w:rsidTr="00A21683">
        <w:trPr>
          <w:trHeight w:val="315"/>
        </w:trPr>
        <w:tc>
          <w:tcPr>
            <w:tcW w:w="2273" w:type="pct"/>
            <w:tcBorders>
              <w:top w:val="nil"/>
              <w:left w:val="single" w:sz="4" w:space="0" w:color="auto"/>
              <w:bottom w:val="double" w:sz="6" w:space="0" w:color="auto"/>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sz w:val="18"/>
                <w:szCs w:val="20"/>
              </w:rPr>
            </w:pPr>
            <w:r w:rsidRPr="00E6522E">
              <w:rPr>
                <w:rFonts w:eastAsia="Times New Roman" w:cstheme="minorHAnsi"/>
                <w:b/>
                <w:bCs/>
                <w:color w:val="000000"/>
                <w:sz w:val="18"/>
                <w:szCs w:val="20"/>
              </w:rPr>
              <w:t>Previous Forecast of Expenses and Acquisition of Nonfinancial Assets</w:t>
            </w:r>
          </w:p>
        </w:tc>
        <w:tc>
          <w:tcPr>
            <w:tcW w:w="523" w:type="pct"/>
            <w:gridSpan w:val="2"/>
            <w:tcBorders>
              <w:top w:val="nil"/>
              <w:left w:val="nil"/>
              <w:bottom w:val="double" w:sz="6"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12,201.0</w:t>
            </w:r>
          </w:p>
        </w:tc>
        <w:tc>
          <w:tcPr>
            <w:tcW w:w="514" w:type="pct"/>
            <w:tcBorders>
              <w:top w:val="nil"/>
              <w:left w:val="double" w:sz="6" w:space="0" w:color="auto"/>
              <w:bottom w:val="double" w:sz="6"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13,698.0</w:t>
            </w:r>
          </w:p>
        </w:tc>
        <w:tc>
          <w:tcPr>
            <w:tcW w:w="514" w:type="pct"/>
            <w:tcBorders>
              <w:top w:val="nil"/>
              <w:left w:val="nil"/>
              <w:bottom w:val="double" w:sz="6"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14,550.0</w:t>
            </w:r>
          </w:p>
        </w:tc>
        <w:tc>
          <w:tcPr>
            <w:tcW w:w="589" w:type="pct"/>
            <w:tcBorders>
              <w:top w:val="nil"/>
              <w:left w:val="nil"/>
              <w:bottom w:val="double" w:sz="6"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15,409.0</w:t>
            </w:r>
          </w:p>
        </w:tc>
        <w:tc>
          <w:tcPr>
            <w:tcW w:w="587" w:type="pct"/>
            <w:tcBorders>
              <w:top w:val="nil"/>
              <w:left w:val="nil"/>
              <w:bottom w:val="double" w:sz="6"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16,625.0</w:t>
            </w:r>
          </w:p>
        </w:tc>
      </w:tr>
      <w:tr w:rsidR="00A21683" w:rsidRPr="00E6522E" w:rsidTr="00A21683">
        <w:trPr>
          <w:trHeight w:val="300"/>
        </w:trPr>
        <w:tc>
          <w:tcPr>
            <w:tcW w:w="2280" w:type="pct"/>
            <w:gridSpan w:val="2"/>
            <w:tcBorders>
              <w:top w:val="single" w:sz="4" w:space="0" w:color="auto"/>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sz w:val="18"/>
              </w:rPr>
            </w:pPr>
            <w:r w:rsidRPr="00E6522E">
              <w:rPr>
                <w:rFonts w:eastAsia="Times New Roman" w:cstheme="minorHAnsi"/>
                <w:b/>
                <w:bCs/>
                <w:color w:val="000000"/>
                <w:sz w:val="18"/>
              </w:rPr>
              <w:t>Total Changes</w:t>
            </w:r>
          </w:p>
        </w:tc>
        <w:tc>
          <w:tcPr>
            <w:tcW w:w="516" w:type="pct"/>
            <w:tcBorders>
              <w:top w:val="single" w:sz="4" w:space="0" w:color="auto"/>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rPr>
            </w:pPr>
            <w:r w:rsidRPr="00E6522E">
              <w:rPr>
                <w:rFonts w:eastAsia="Times New Roman" w:cstheme="minorHAnsi"/>
                <w:b/>
                <w:bCs/>
                <w:color w:val="000000"/>
                <w:sz w:val="18"/>
              </w:rPr>
              <w:t>151.7</w:t>
            </w:r>
          </w:p>
        </w:tc>
        <w:tc>
          <w:tcPr>
            <w:tcW w:w="514" w:type="pct"/>
            <w:tcBorders>
              <w:top w:val="single" w:sz="4" w:space="0" w:color="auto"/>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rPr>
            </w:pPr>
            <w:r w:rsidRPr="00E6522E">
              <w:rPr>
                <w:rFonts w:eastAsia="Times New Roman" w:cstheme="minorHAnsi"/>
                <w:b/>
                <w:bCs/>
                <w:color w:val="000000"/>
                <w:sz w:val="18"/>
              </w:rPr>
              <w:t>214.0</w:t>
            </w:r>
          </w:p>
        </w:tc>
        <w:tc>
          <w:tcPr>
            <w:tcW w:w="514" w:type="pct"/>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rPr>
            </w:pPr>
            <w:r w:rsidRPr="00E6522E">
              <w:rPr>
                <w:rFonts w:eastAsia="Times New Roman" w:cstheme="minorHAnsi"/>
                <w:b/>
                <w:bCs/>
                <w:color w:val="000000"/>
                <w:sz w:val="18"/>
              </w:rPr>
              <w:t>549.0</w:t>
            </w:r>
          </w:p>
        </w:tc>
        <w:tc>
          <w:tcPr>
            <w:tcW w:w="589" w:type="pct"/>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rPr>
            </w:pPr>
            <w:r w:rsidRPr="00E6522E">
              <w:rPr>
                <w:rFonts w:eastAsia="Times New Roman" w:cstheme="minorHAnsi"/>
                <w:b/>
                <w:bCs/>
                <w:color w:val="000000"/>
                <w:sz w:val="18"/>
              </w:rPr>
              <w:t>785.0</w:t>
            </w:r>
          </w:p>
        </w:tc>
        <w:tc>
          <w:tcPr>
            <w:tcW w:w="587" w:type="pct"/>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rPr>
            </w:pPr>
            <w:r w:rsidRPr="00E6522E">
              <w:rPr>
                <w:rFonts w:eastAsia="Times New Roman" w:cstheme="minorHAnsi"/>
                <w:b/>
                <w:bCs/>
                <w:color w:val="000000"/>
                <w:sz w:val="18"/>
              </w:rPr>
              <w:t>795.0</w:t>
            </w:r>
          </w:p>
        </w:tc>
      </w:tr>
      <w:tr w:rsidR="00A21683" w:rsidRPr="00E6522E" w:rsidTr="00A21683">
        <w:trPr>
          <w:trHeight w:val="300"/>
        </w:trPr>
        <w:tc>
          <w:tcPr>
            <w:tcW w:w="2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181"/>
              <w:rPr>
                <w:rFonts w:eastAsia="Times New Roman" w:cstheme="minorHAnsi"/>
                <w:b/>
                <w:bCs/>
                <w:color w:val="000000"/>
                <w:sz w:val="18"/>
              </w:rPr>
            </w:pPr>
            <w:r w:rsidRPr="00E6522E">
              <w:rPr>
                <w:rFonts w:eastAsia="Times New Roman" w:cstheme="minorHAnsi"/>
                <w:b/>
                <w:bCs/>
                <w:color w:val="000000"/>
                <w:sz w:val="18"/>
              </w:rPr>
              <w:t>expenses</w:t>
            </w:r>
          </w:p>
        </w:tc>
        <w:tc>
          <w:tcPr>
            <w:tcW w:w="516" w:type="pct"/>
            <w:tcBorders>
              <w:top w:val="single" w:sz="4" w:space="0" w:color="auto"/>
              <w:left w:val="single" w:sz="4" w:space="0" w:color="auto"/>
              <w:bottom w:val="single" w:sz="4"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rPr>
            </w:pPr>
            <w:r w:rsidRPr="00E6522E">
              <w:rPr>
                <w:rFonts w:eastAsia="Times New Roman" w:cstheme="minorHAnsi"/>
                <w:b/>
                <w:bCs/>
                <w:color w:val="000000"/>
                <w:sz w:val="18"/>
              </w:rPr>
              <w:t>-92.2</w:t>
            </w:r>
          </w:p>
        </w:tc>
        <w:tc>
          <w:tcPr>
            <w:tcW w:w="514" w:type="pct"/>
            <w:tcBorders>
              <w:top w:val="single" w:sz="4" w:space="0" w:color="auto"/>
              <w:left w:val="double" w:sz="6" w:space="0" w:color="auto"/>
              <w:bottom w:val="single" w:sz="4"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rPr>
            </w:pPr>
            <w:r w:rsidRPr="00E6522E">
              <w:rPr>
                <w:rFonts w:eastAsia="Times New Roman" w:cstheme="minorHAnsi"/>
                <w:b/>
                <w:bCs/>
                <w:color w:val="000000"/>
                <w:sz w:val="18"/>
              </w:rPr>
              <w:t>106.0</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rPr>
            </w:pPr>
            <w:r w:rsidRPr="00E6522E">
              <w:rPr>
                <w:rFonts w:eastAsia="Times New Roman" w:cstheme="minorHAnsi"/>
                <w:b/>
                <w:bCs/>
                <w:color w:val="000000"/>
                <w:sz w:val="18"/>
              </w:rPr>
              <w:t>700.0</w:t>
            </w:r>
          </w:p>
        </w:tc>
        <w:tc>
          <w:tcPr>
            <w:tcW w:w="5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rPr>
            </w:pPr>
            <w:r w:rsidRPr="00E6522E">
              <w:rPr>
                <w:rFonts w:eastAsia="Times New Roman" w:cstheme="minorHAnsi"/>
                <w:b/>
                <w:bCs/>
                <w:color w:val="000000"/>
                <w:sz w:val="18"/>
              </w:rPr>
              <w:t>1,415.0</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rPr>
            </w:pPr>
            <w:r w:rsidRPr="00E6522E">
              <w:rPr>
                <w:rFonts w:eastAsia="Times New Roman" w:cstheme="minorHAnsi"/>
                <w:b/>
                <w:bCs/>
                <w:color w:val="000000"/>
                <w:sz w:val="18"/>
              </w:rPr>
              <w:t>1,595.0</w:t>
            </w:r>
          </w:p>
        </w:tc>
      </w:tr>
      <w:tr w:rsidR="00A21683" w:rsidRPr="00E6522E" w:rsidTr="00A21683">
        <w:trPr>
          <w:trHeight w:val="300"/>
        </w:trPr>
        <w:tc>
          <w:tcPr>
            <w:tcW w:w="2280" w:type="pct"/>
            <w:gridSpan w:val="2"/>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200" w:firstLine="360"/>
              <w:rPr>
                <w:rFonts w:eastAsia="Times New Roman" w:cstheme="minorHAnsi"/>
                <w:color w:val="000000"/>
                <w:sz w:val="18"/>
              </w:rPr>
            </w:pPr>
            <w:r w:rsidRPr="00E6522E">
              <w:rPr>
                <w:rFonts w:eastAsia="Times New Roman" w:cstheme="minorHAnsi"/>
                <w:color w:val="000000"/>
                <w:sz w:val="18"/>
              </w:rPr>
              <w:t>Wages and Salaries</w:t>
            </w:r>
          </w:p>
        </w:tc>
        <w:tc>
          <w:tcPr>
            <w:tcW w:w="516"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-8.2</w:t>
            </w:r>
          </w:p>
        </w:tc>
        <w:tc>
          <w:tcPr>
            <w:tcW w:w="514"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23.0</w:t>
            </w:r>
          </w:p>
        </w:tc>
        <w:tc>
          <w:tcPr>
            <w:tcW w:w="514"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86.0</w:t>
            </w:r>
          </w:p>
        </w:tc>
        <w:tc>
          <w:tcPr>
            <w:tcW w:w="589"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162.0</w:t>
            </w:r>
          </w:p>
        </w:tc>
        <w:tc>
          <w:tcPr>
            <w:tcW w:w="58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150.0</w:t>
            </w:r>
          </w:p>
        </w:tc>
      </w:tr>
      <w:tr w:rsidR="00A21683" w:rsidRPr="00E6522E" w:rsidTr="00A21683">
        <w:trPr>
          <w:trHeight w:val="300"/>
        </w:trPr>
        <w:tc>
          <w:tcPr>
            <w:tcW w:w="2280" w:type="pct"/>
            <w:gridSpan w:val="2"/>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200" w:firstLine="360"/>
              <w:rPr>
                <w:rFonts w:eastAsia="Times New Roman" w:cstheme="minorHAnsi"/>
                <w:color w:val="000000"/>
                <w:sz w:val="18"/>
              </w:rPr>
            </w:pPr>
            <w:r w:rsidRPr="00E6522E">
              <w:rPr>
                <w:rFonts w:eastAsia="Times New Roman" w:cstheme="minorHAnsi"/>
                <w:color w:val="000000"/>
                <w:sz w:val="18"/>
              </w:rPr>
              <w:t>Use Goods and Services</w:t>
            </w:r>
          </w:p>
        </w:tc>
        <w:tc>
          <w:tcPr>
            <w:tcW w:w="516"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43.8</w:t>
            </w:r>
          </w:p>
        </w:tc>
        <w:tc>
          <w:tcPr>
            <w:tcW w:w="514"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28.0</w:t>
            </w:r>
          </w:p>
        </w:tc>
        <w:tc>
          <w:tcPr>
            <w:tcW w:w="514"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177.0</w:t>
            </w:r>
          </w:p>
        </w:tc>
        <w:tc>
          <w:tcPr>
            <w:tcW w:w="589"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222.0</w:t>
            </w:r>
          </w:p>
        </w:tc>
        <w:tc>
          <w:tcPr>
            <w:tcW w:w="58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174.0</w:t>
            </w:r>
          </w:p>
        </w:tc>
      </w:tr>
      <w:tr w:rsidR="00A21683" w:rsidRPr="00E6522E" w:rsidTr="00A21683">
        <w:trPr>
          <w:trHeight w:val="300"/>
        </w:trPr>
        <w:tc>
          <w:tcPr>
            <w:tcW w:w="2280" w:type="pct"/>
            <w:gridSpan w:val="2"/>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200" w:firstLine="360"/>
              <w:rPr>
                <w:rFonts w:eastAsia="Times New Roman" w:cstheme="minorHAnsi"/>
                <w:color w:val="000000"/>
                <w:sz w:val="18"/>
              </w:rPr>
            </w:pPr>
            <w:r w:rsidRPr="00E6522E">
              <w:rPr>
                <w:rFonts w:eastAsia="Times New Roman" w:cstheme="minorHAnsi"/>
                <w:color w:val="000000"/>
                <w:sz w:val="18"/>
              </w:rPr>
              <w:t>Interest</w:t>
            </w:r>
          </w:p>
        </w:tc>
        <w:tc>
          <w:tcPr>
            <w:tcW w:w="516"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-39.4</w:t>
            </w:r>
          </w:p>
        </w:tc>
        <w:tc>
          <w:tcPr>
            <w:tcW w:w="514"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0.0</w:t>
            </w:r>
          </w:p>
        </w:tc>
        <w:tc>
          <w:tcPr>
            <w:tcW w:w="514"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111.0</w:t>
            </w:r>
          </w:p>
        </w:tc>
        <w:tc>
          <w:tcPr>
            <w:tcW w:w="589"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155.0</w:t>
            </w:r>
          </w:p>
        </w:tc>
        <w:tc>
          <w:tcPr>
            <w:tcW w:w="58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130.0</w:t>
            </w:r>
          </w:p>
        </w:tc>
      </w:tr>
      <w:tr w:rsidR="00A21683" w:rsidRPr="00E6522E" w:rsidTr="00A21683">
        <w:trPr>
          <w:trHeight w:val="300"/>
        </w:trPr>
        <w:tc>
          <w:tcPr>
            <w:tcW w:w="2280" w:type="pct"/>
            <w:gridSpan w:val="2"/>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200" w:firstLine="360"/>
              <w:rPr>
                <w:rFonts w:eastAsia="Times New Roman" w:cstheme="minorHAnsi"/>
                <w:color w:val="000000"/>
                <w:sz w:val="18"/>
              </w:rPr>
            </w:pPr>
            <w:r w:rsidRPr="00E6522E">
              <w:rPr>
                <w:rFonts w:eastAsia="Times New Roman" w:cstheme="minorHAnsi"/>
                <w:color w:val="000000"/>
                <w:sz w:val="18"/>
              </w:rPr>
              <w:t>Subsidies</w:t>
            </w:r>
          </w:p>
        </w:tc>
        <w:tc>
          <w:tcPr>
            <w:tcW w:w="516"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20.9</w:t>
            </w:r>
          </w:p>
        </w:tc>
        <w:tc>
          <w:tcPr>
            <w:tcW w:w="514"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24.0</w:t>
            </w:r>
          </w:p>
        </w:tc>
        <w:tc>
          <w:tcPr>
            <w:tcW w:w="514"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121.0</w:t>
            </w:r>
          </w:p>
        </w:tc>
        <w:tc>
          <w:tcPr>
            <w:tcW w:w="589"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154.0</w:t>
            </w:r>
          </w:p>
        </w:tc>
        <w:tc>
          <w:tcPr>
            <w:tcW w:w="58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143.0</w:t>
            </w:r>
          </w:p>
        </w:tc>
      </w:tr>
      <w:tr w:rsidR="00A21683" w:rsidRPr="00E6522E" w:rsidTr="00A21683">
        <w:trPr>
          <w:trHeight w:val="300"/>
        </w:trPr>
        <w:tc>
          <w:tcPr>
            <w:tcW w:w="2280" w:type="pct"/>
            <w:gridSpan w:val="2"/>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200" w:firstLine="360"/>
              <w:rPr>
                <w:rFonts w:eastAsia="Times New Roman" w:cstheme="minorHAnsi"/>
                <w:color w:val="000000"/>
                <w:sz w:val="18"/>
              </w:rPr>
            </w:pPr>
            <w:r w:rsidRPr="00E6522E">
              <w:rPr>
                <w:rFonts w:eastAsia="Times New Roman" w:cstheme="minorHAnsi"/>
                <w:color w:val="000000"/>
                <w:sz w:val="18"/>
              </w:rPr>
              <w:t>Grants</w:t>
            </w:r>
          </w:p>
        </w:tc>
        <w:tc>
          <w:tcPr>
            <w:tcW w:w="516"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-42.4</w:t>
            </w:r>
          </w:p>
        </w:tc>
        <w:tc>
          <w:tcPr>
            <w:tcW w:w="514"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-16.0</w:t>
            </w:r>
          </w:p>
        </w:tc>
        <w:tc>
          <w:tcPr>
            <w:tcW w:w="514"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12.0</w:t>
            </w:r>
          </w:p>
        </w:tc>
        <w:tc>
          <w:tcPr>
            <w:tcW w:w="589"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-9.0</w:t>
            </w:r>
          </w:p>
        </w:tc>
        <w:tc>
          <w:tcPr>
            <w:tcW w:w="58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-12.0</w:t>
            </w:r>
          </w:p>
        </w:tc>
      </w:tr>
      <w:tr w:rsidR="00A21683" w:rsidRPr="00E6522E" w:rsidTr="00A21683">
        <w:trPr>
          <w:trHeight w:val="300"/>
        </w:trPr>
        <w:tc>
          <w:tcPr>
            <w:tcW w:w="2280" w:type="pct"/>
            <w:gridSpan w:val="2"/>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200" w:firstLine="360"/>
              <w:rPr>
                <w:rFonts w:eastAsia="Times New Roman" w:cstheme="minorHAnsi"/>
                <w:color w:val="000000"/>
                <w:sz w:val="18"/>
              </w:rPr>
            </w:pPr>
            <w:r w:rsidRPr="00E6522E">
              <w:rPr>
                <w:rFonts w:eastAsia="Times New Roman" w:cstheme="minorHAnsi"/>
                <w:color w:val="000000"/>
                <w:sz w:val="18"/>
              </w:rPr>
              <w:t>Social Benefits</w:t>
            </w:r>
          </w:p>
        </w:tc>
        <w:tc>
          <w:tcPr>
            <w:tcW w:w="516"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6.5</w:t>
            </w:r>
          </w:p>
        </w:tc>
        <w:tc>
          <w:tcPr>
            <w:tcW w:w="514"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23.0</w:t>
            </w:r>
          </w:p>
        </w:tc>
        <w:tc>
          <w:tcPr>
            <w:tcW w:w="514"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146.0</w:t>
            </w:r>
          </w:p>
        </w:tc>
        <w:tc>
          <w:tcPr>
            <w:tcW w:w="589"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571.0</w:t>
            </w:r>
          </w:p>
        </w:tc>
        <w:tc>
          <w:tcPr>
            <w:tcW w:w="58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637.0</w:t>
            </w:r>
          </w:p>
        </w:tc>
      </w:tr>
      <w:tr w:rsidR="00A21683" w:rsidRPr="00E6522E" w:rsidTr="00A21683">
        <w:trPr>
          <w:trHeight w:val="300"/>
        </w:trPr>
        <w:tc>
          <w:tcPr>
            <w:tcW w:w="2280" w:type="pct"/>
            <w:gridSpan w:val="2"/>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200" w:firstLine="360"/>
              <w:rPr>
                <w:rFonts w:eastAsia="Times New Roman" w:cstheme="minorHAnsi"/>
                <w:color w:val="000000"/>
                <w:sz w:val="18"/>
              </w:rPr>
            </w:pPr>
            <w:r w:rsidRPr="00E6522E">
              <w:rPr>
                <w:rFonts w:eastAsia="Times New Roman" w:cstheme="minorHAnsi"/>
                <w:color w:val="000000"/>
                <w:sz w:val="18"/>
              </w:rPr>
              <w:t>Other Expenses</w:t>
            </w:r>
          </w:p>
        </w:tc>
        <w:tc>
          <w:tcPr>
            <w:tcW w:w="516"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-73.3</w:t>
            </w:r>
          </w:p>
        </w:tc>
        <w:tc>
          <w:tcPr>
            <w:tcW w:w="514"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24.0</w:t>
            </w:r>
          </w:p>
        </w:tc>
        <w:tc>
          <w:tcPr>
            <w:tcW w:w="514"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47.0</w:t>
            </w:r>
          </w:p>
        </w:tc>
        <w:tc>
          <w:tcPr>
            <w:tcW w:w="589"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160.0</w:t>
            </w:r>
          </w:p>
        </w:tc>
        <w:tc>
          <w:tcPr>
            <w:tcW w:w="58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373.0</w:t>
            </w:r>
          </w:p>
        </w:tc>
      </w:tr>
      <w:tr w:rsidR="00A21683" w:rsidRPr="00E6522E" w:rsidTr="00A21683">
        <w:trPr>
          <w:trHeight w:val="300"/>
        </w:trPr>
        <w:tc>
          <w:tcPr>
            <w:tcW w:w="2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181"/>
              <w:rPr>
                <w:rFonts w:eastAsia="Times New Roman" w:cstheme="minorHAnsi"/>
                <w:b/>
                <w:bCs/>
                <w:color w:val="000000"/>
                <w:sz w:val="18"/>
              </w:rPr>
            </w:pPr>
            <w:r w:rsidRPr="00E6522E">
              <w:rPr>
                <w:rFonts w:eastAsia="Times New Roman" w:cstheme="minorHAnsi"/>
                <w:b/>
                <w:bCs/>
                <w:color w:val="000000"/>
                <w:sz w:val="18"/>
              </w:rPr>
              <w:t>Acquisition of Nonfinancial Assets</w:t>
            </w:r>
          </w:p>
        </w:tc>
        <w:tc>
          <w:tcPr>
            <w:tcW w:w="516" w:type="pct"/>
            <w:tcBorders>
              <w:top w:val="single" w:sz="4" w:space="0" w:color="auto"/>
              <w:left w:val="single" w:sz="4" w:space="0" w:color="auto"/>
              <w:bottom w:val="single" w:sz="4"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rPr>
            </w:pPr>
            <w:r w:rsidRPr="00E6522E">
              <w:rPr>
                <w:rFonts w:eastAsia="Times New Roman" w:cstheme="minorHAnsi"/>
                <w:b/>
                <w:bCs/>
                <w:color w:val="000000"/>
                <w:sz w:val="18"/>
              </w:rPr>
              <w:t>243.9</w:t>
            </w:r>
          </w:p>
        </w:tc>
        <w:tc>
          <w:tcPr>
            <w:tcW w:w="514" w:type="pct"/>
            <w:tcBorders>
              <w:top w:val="single" w:sz="4" w:space="0" w:color="auto"/>
              <w:left w:val="double" w:sz="6" w:space="0" w:color="auto"/>
              <w:bottom w:val="single" w:sz="4"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rPr>
            </w:pPr>
            <w:r w:rsidRPr="00E6522E">
              <w:rPr>
                <w:rFonts w:eastAsia="Times New Roman" w:cstheme="minorHAnsi"/>
                <w:b/>
                <w:bCs/>
                <w:color w:val="000000"/>
                <w:sz w:val="18"/>
              </w:rPr>
              <w:t>108.0</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rPr>
            </w:pPr>
            <w:r w:rsidRPr="00E6522E">
              <w:rPr>
                <w:rFonts w:eastAsia="Times New Roman" w:cstheme="minorHAnsi"/>
                <w:b/>
                <w:bCs/>
                <w:color w:val="000000"/>
                <w:sz w:val="18"/>
              </w:rPr>
              <w:t>-151.0</w:t>
            </w:r>
          </w:p>
        </w:tc>
        <w:tc>
          <w:tcPr>
            <w:tcW w:w="5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rPr>
            </w:pPr>
            <w:r w:rsidRPr="00E6522E">
              <w:rPr>
                <w:rFonts w:eastAsia="Times New Roman" w:cstheme="minorHAnsi"/>
                <w:b/>
                <w:bCs/>
                <w:color w:val="000000"/>
                <w:sz w:val="18"/>
              </w:rPr>
              <w:t>-630.0</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rPr>
            </w:pPr>
            <w:r w:rsidRPr="00E6522E">
              <w:rPr>
                <w:rFonts w:eastAsia="Times New Roman" w:cstheme="minorHAnsi"/>
                <w:b/>
                <w:bCs/>
                <w:color w:val="000000"/>
                <w:sz w:val="18"/>
              </w:rPr>
              <w:t>-800.0</w:t>
            </w:r>
          </w:p>
        </w:tc>
      </w:tr>
      <w:tr w:rsidR="00A21683" w:rsidRPr="00E6522E" w:rsidTr="00A21683">
        <w:trPr>
          <w:trHeight w:val="315"/>
        </w:trPr>
        <w:tc>
          <w:tcPr>
            <w:tcW w:w="2280" w:type="pct"/>
            <w:gridSpan w:val="2"/>
            <w:tcBorders>
              <w:top w:val="nil"/>
              <w:left w:val="single" w:sz="4" w:space="0" w:color="auto"/>
              <w:bottom w:val="double" w:sz="6" w:space="0" w:color="auto"/>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sz w:val="18"/>
              </w:rPr>
            </w:pPr>
            <w:r w:rsidRPr="00E6522E">
              <w:rPr>
                <w:rFonts w:eastAsia="Times New Roman" w:cstheme="minorHAnsi"/>
                <w:b/>
                <w:bCs/>
                <w:color w:val="000000"/>
                <w:sz w:val="18"/>
                <w:szCs w:val="20"/>
              </w:rPr>
              <w:t>Updated Forecast of Expenses and Acquisition of Nonfinancial Assets</w:t>
            </w:r>
          </w:p>
        </w:tc>
        <w:tc>
          <w:tcPr>
            <w:tcW w:w="516" w:type="pct"/>
            <w:tcBorders>
              <w:top w:val="nil"/>
              <w:left w:val="nil"/>
              <w:bottom w:val="double" w:sz="6"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rPr>
            </w:pPr>
            <w:r w:rsidRPr="00E6522E">
              <w:rPr>
                <w:rFonts w:eastAsia="Times New Roman" w:cstheme="minorHAnsi"/>
                <w:b/>
                <w:bCs/>
                <w:color w:val="000000"/>
                <w:sz w:val="18"/>
              </w:rPr>
              <w:t>12,352.7</w:t>
            </w:r>
          </w:p>
        </w:tc>
        <w:tc>
          <w:tcPr>
            <w:tcW w:w="514" w:type="pct"/>
            <w:tcBorders>
              <w:top w:val="nil"/>
              <w:left w:val="double" w:sz="6" w:space="0" w:color="auto"/>
              <w:bottom w:val="double" w:sz="6"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rPr>
            </w:pPr>
            <w:r w:rsidRPr="00E6522E">
              <w:rPr>
                <w:rFonts w:eastAsia="Times New Roman" w:cstheme="minorHAnsi"/>
                <w:b/>
                <w:bCs/>
                <w:color w:val="000000"/>
                <w:sz w:val="18"/>
              </w:rPr>
              <w:t>13,912.0</w:t>
            </w:r>
          </w:p>
        </w:tc>
        <w:tc>
          <w:tcPr>
            <w:tcW w:w="514" w:type="pct"/>
            <w:tcBorders>
              <w:top w:val="nil"/>
              <w:left w:val="nil"/>
              <w:bottom w:val="double" w:sz="6"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rPr>
            </w:pPr>
            <w:r w:rsidRPr="00E6522E">
              <w:rPr>
                <w:rFonts w:eastAsia="Times New Roman" w:cstheme="minorHAnsi"/>
                <w:b/>
                <w:bCs/>
                <w:color w:val="000000"/>
                <w:sz w:val="18"/>
              </w:rPr>
              <w:t>15,099.0</w:t>
            </w:r>
          </w:p>
        </w:tc>
        <w:tc>
          <w:tcPr>
            <w:tcW w:w="589" w:type="pct"/>
            <w:tcBorders>
              <w:top w:val="nil"/>
              <w:left w:val="nil"/>
              <w:bottom w:val="double" w:sz="6"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rPr>
            </w:pPr>
            <w:r w:rsidRPr="00E6522E">
              <w:rPr>
                <w:rFonts w:eastAsia="Times New Roman" w:cstheme="minorHAnsi"/>
                <w:b/>
                <w:bCs/>
                <w:color w:val="000000"/>
                <w:sz w:val="18"/>
              </w:rPr>
              <w:t>16,194.0</w:t>
            </w:r>
          </w:p>
        </w:tc>
        <w:tc>
          <w:tcPr>
            <w:tcW w:w="587" w:type="pct"/>
            <w:tcBorders>
              <w:top w:val="nil"/>
              <w:left w:val="nil"/>
              <w:bottom w:val="double" w:sz="6"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rPr>
            </w:pPr>
            <w:r w:rsidRPr="00E6522E">
              <w:rPr>
                <w:rFonts w:eastAsia="Times New Roman" w:cstheme="minorHAnsi"/>
                <w:b/>
                <w:bCs/>
                <w:color w:val="000000"/>
                <w:sz w:val="18"/>
              </w:rPr>
              <w:t>17,420.0</w:t>
            </w:r>
          </w:p>
        </w:tc>
      </w:tr>
    </w:tbl>
    <w:p w:rsidR="00D968E5" w:rsidRPr="00E6522E" w:rsidRDefault="00D968E5" w:rsidP="005025C2">
      <w:pPr>
        <w:pStyle w:val="NoSpacing"/>
        <w:jc w:val="both"/>
        <w:rPr>
          <w:rFonts w:cstheme="minorHAnsi"/>
        </w:rPr>
      </w:pPr>
      <w:r w:rsidRPr="00E6522E">
        <w:rPr>
          <w:rFonts w:cstheme="minorHAnsi"/>
          <w:lang w:val="ka-GE"/>
        </w:rPr>
        <w:fldChar w:fldCharType="begin"/>
      </w:r>
      <w:r w:rsidRPr="00E6522E">
        <w:rPr>
          <w:rFonts w:cstheme="minorHAnsi"/>
          <w:lang w:val="ka-GE"/>
        </w:rPr>
        <w:instrText xml:space="preserve"> LINK Excel.Sheet.12 "D:\\Desktop\\6. </w:instrText>
      </w:r>
      <w:r w:rsidRPr="00E6522E">
        <w:rPr>
          <w:rFonts w:ascii="Sylfaen" w:hAnsi="Sylfaen" w:cs="Sylfaen"/>
          <w:lang w:val="ka-GE"/>
        </w:rPr>
        <w:instrText>ბიუჯეტი</w:instrText>
      </w:r>
      <w:r w:rsidRPr="00E6522E">
        <w:rPr>
          <w:rFonts w:cstheme="minorHAnsi"/>
          <w:lang w:val="ka-GE"/>
        </w:rPr>
        <w:instrText>\\</w:instrText>
      </w:r>
      <w:r w:rsidRPr="00E6522E">
        <w:rPr>
          <w:rFonts w:ascii="Sylfaen" w:hAnsi="Sylfaen" w:cs="Sylfaen"/>
          <w:lang w:val="ka-GE"/>
        </w:rPr>
        <w:instrText>კანონპროექტები</w:instrText>
      </w:r>
      <w:r w:rsidRPr="00E6522E">
        <w:rPr>
          <w:rFonts w:cstheme="minorHAnsi"/>
          <w:lang w:val="ka-GE"/>
        </w:rPr>
        <w:instrText xml:space="preserve">\\2020 </w:instrText>
      </w:r>
      <w:r w:rsidRPr="00E6522E">
        <w:rPr>
          <w:rFonts w:ascii="Sylfaen" w:hAnsi="Sylfaen" w:cs="Sylfaen"/>
          <w:lang w:val="ka-GE"/>
        </w:rPr>
        <w:instrText>წლის</w:instrText>
      </w:r>
      <w:r w:rsidRPr="00E6522E">
        <w:rPr>
          <w:rFonts w:cstheme="minorHAnsi"/>
          <w:lang w:val="ka-GE"/>
        </w:rPr>
        <w:instrText xml:space="preserve"> </w:instrText>
      </w:r>
      <w:r w:rsidRPr="00E6522E">
        <w:rPr>
          <w:rFonts w:ascii="Sylfaen" w:hAnsi="Sylfaen" w:cs="Sylfaen"/>
          <w:lang w:val="ka-GE"/>
        </w:rPr>
        <w:instrText>ბიუჯეტი</w:instrText>
      </w:r>
      <w:r w:rsidRPr="00E6522E">
        <w:rPr>
          <w:rFonts w:cstheme="minorHAnsi"/>
          <w:lang w:val="ka-GE"/>
        </w:rPr>
        <w:instrText xml:space="preserve">\\III </w:instrText>
      </w:r>
      <w:r w:rsidRPr="00E6522E">
        <w:rPr>
          <w:rFonts w:ascii="Sylfaen" w:hAnsi="Sylfaen" w:cs="Sylfaen"/>
          <w:lang w:val="ka-GE"/>
        </w:rPr>
        <w:instrText>წარდგენა</w:instrText>
      </w:r>
      <w:r w:rsidRPr="00E6522E">
        <w:rPr>
          <w:rFonts w:cstheme="minorHAnsi"/>
          <w:lang w:val="ka-GE"/>
        </w:rPr>
        <w:instrText xml:space="preserve">\\Forecast Reconciliation 2020 sen21 to 2019 sen13.xlsx" "Reconciliation (2)!R45C1:R50C6" \a \f 4 \h  \* MERGEFORMAT </w:instrText>
      </w:r>
      <w:r w:rsidRPr="00E6522E">
        <w:rPr>
          <w:rFonts w:cstheme="minorHAnsi"/>
          <w:lang w:val="ka-GE"/>
        </w:rPr>
        <w:fldChar w:fldCharType="separate"/>
      </w:r>
    </w:p>
    <w:p w:rsidR="00A21683" w:rsidRPr="00E6522E" w:rsidRDefault="00D968E5" w:rsidP="00A21683">
      <w:pPr>
        <w:pStyle w:val="NoSpacing"/>
        <w:ind w:left="1080"/>
        <w:jc w:val="both"/>
        <w:rPr>
          <w:rFonts w:cstheme="minorHAnsi"/>
          <w:lang w:val="ka-GE"/>
        </w:rPr>
      </w:pPr>
      <w:r w:rsidRPr="00E6522E">
        <w:rPr>
          <w:rFonts w:cstheme="minorHAnsi"/>
          <w:lang w:val="ka-GE"/>
        </w:rPr>
        <w:fldChar w:fldCharType="end"/>
      </w:r>
    </w:p>
    <w:p w:rsidR="00A21683" w:rsidRPr="00E6522E" w:rsidRDefault="00A21683" w:rsidP="00A21683">
      <w:pPr>
        <w:pStyle w:val="NoSpacing"/>
        <w:jc w:val="both"/>
        <w:rPr>
          <w:rFonts w:cstheme="minorHAnsi"/>
          <w:lang w:val="ka-GE"/>
        </w:rPr>
      </w:pPr>
      <w:r w:rsidRPr="00E6522E">
        <w:rPr>
          <w:rFonts w:cstheme="minorHAnsi"/>
          <w:lang w:val="ka-GE"/>
        </w:rPr>
        <w:t xml:space="preserve">The changes in the </w:t>
      </w:r>
      <w:r w:rsidR="00FD4606">
        <w:rPr>
          <w:rFonts w:cstheme="minorHAnsi"/>
        </w:rPr>
        <w:t>General Government</w:t>
      </w:r>
      <w:r w:rsidR="00FD4606" w:rsidRPr="00E6522E">
        <w:rPr>
          <w:rFonts w:cstheme="minorHAnsi"/>
          <w:lang w:val="ka-GE"/>
        </w:rPr>
        <w:t xml:space="preserve"> </w:t>
      </w:r>
      <w:r w:rsidR="00865058" w:rsidRPr="00E6522E">
        <w:rPr>
          <w:rFonts w:cstheme="minorHAnsi"/>
        </w:rPr>
        <w:t>B</w:t>
      </w:r>
      <w:r w:rsidRPr="00E6522E">
        <w:rPr>
          <w:rFonts w:cstheme="minorHAnsi"/>
          <w:lang w:val="ka-GE"/>
        </w:rPr>
        <w:t>udget forecast</w:t>
      </w:r>
      <w:r w:rsidRPr="00E6522E">
        <w:rPr>
          <w:rFonts w:cstheme="minorHAnsi"/>
        </w:rPr>
        <w:t>s</w:t>
      </w:r>
      <w:r w:rsidRPr="00E6522E">
        <w:rPr>
          <w:rFonts w:cstheme="minorHAnsi"/>
          <w:lang w:val="ka-GE"/>
        </w:rPr>
        <w:t xml:space="preserve"> are shown in Table 4. As we can see, the updated forecast</w:t>
      </w:r>
      <w:r w:rsidRPr="00E6522E">
        <w:rPr>
          <w:rFonts w:cstheme="minorHAnsi"/>
        </w:rPr>
        <w:t>s</w:t>
      </w:r>
      <w:r w:rsidRPr="00E6522E">
        <w:rPr>
          <w:rFonts w:cstheme="minorHAnsi"/>
          <w:lang w:val="ka-GE"/>
        </w:rPr>
        <w:t xml:space="preserve"> of the </w:t>
      </w:r>
      <w:r w:rsidR="00FD4606">
        <w:rPr>
          <w:rFonts w:cstheme="minorHAnsi"/>
        </w:rPr>
        <w:t>General Government</w:t>
      </w:r>
      <w:r w:rsidR="00FD4606" w:rsidRPr="00E6522E">
        <w:rPr>
          <w:rFonts w:cstheme="minorHAnsi"/>
          <w:lang w:val="ka-GE"/>
        </w:rPr>
        <w:t xml:space="preserve"> </w:t>
      </w:r>
      <w:r w:rsidR="00865058" w:rsidRPr="00E6522E">
        <w:rPr>
          <w:rFonts w:cstheme="minorHAnsi"/>
        </w:rPr>
        <w:t>B</w:t>
      </w:r>
      <w:r w:rsidRPr="00E6522E">
        <w:rPr>
          <w:rFonts w:cstheme="minorHAnsi"/>
          <w:lang w:val="ka-GE"/>
        </w:rPr>
        <w:t>udget</w:t>
      </w:r>
      <w:r w:rsidR="00865058" w:rsidRPr="00E6522E">
        <w:rPr>
          <w:rFonts w:cstheme="minorHAnsi"/>
        </w:rPr>
        <w:t xml:space="preserve"> revenues</w:t>
      </w:r>
      <w:r w:rsidR="00865058" w:rsidRPr="00E6522E">
        <w:rPr>
          <w:rFonts w:cstheme="minorHAnsi"/>
          <w:lang w:val="ka-GE"/>
        </w:rPr>
        <w:t xml:space="preserve"> have</w:t>
      </w:r>
      <w:r w:rsidRPr="00E6522E">
        <w:rPr>
          <w:rFonts w:cstheme="minorHAnsi"/>
          <w:lang w:val="ka-GE"/>
        </w:rPr>
        <w:t xml:space="preserve"> increased. The </w:t>
      </w:r>
      <w:r w:rsidRPr="00E6522E">
        <w:rPr>
          <w:rFonts w:cstheme="minorHAnsi"/>
        </w:rPr>
        <w:t xml:space="preserve">forecasts of </w:t>
      </w:r>
      <w:r w:rsidRPr="00E6522E">
        <w:rPr>
          <w:rFonts w:cstheme="minorHAnsi"/>
          <w:lang w:val="ka-GE"/>
        </w:rPr>
        <w:t>budget revenue</w:t>
      </w:r>
      <w:r w:rsidRPr="00E6522E">
        <w:rPr>
          <w:rFonts w:cstheme="minorHAnsi"/>
        </w:rPr>
        <w:t>s</w:t>
      </w:r>
      <w:r w:rsidRPr="00E6522E">
        <w:rPr>
          <w:rFonts w:cstheme="minorHAnsi"/>
          <w:lang w:val="ka-GE"/>
        </w:rPr>
        <w:t xml:space="preserve"> </w:t>
      </w:r>
      <w:r w:rsidRPr="00E6522E">
        <w:rPr>
          <w:rFonts w:cstheme="minorHAnsi"/>
        </w:rPr>
        <w:t>is</w:t>
      </w:r>
      <w:r w:rsidRPr="00E6522E">
        <w:rPr>
          <w:rFonts w:cstheme="minorHAnsi"/>
          <w:lang w:val="ka-GE"/>
        </w:rPr>
        <w:t xml:space="preserve"> </w:t>
      </w:r>
      <w:r w:rsidR="00FD4606">
        <w:rPr>
          <w:rFonts w:cstheme="minorHAnsi"/>
        </w:rPr>
        <w:t>estimated</w:t>
      </w:r>
      <w:r w:rsidR="00FD4606" w:rsidRPr="00E6522E">
        <w:rPr>
          <w:rFonts w:cstheme="minorHAnsi"/>
          <w:lang w:val="ka-GE"/>
        </w:rPr>
        <w:t xml:space="preserve"> </w:t>
      </w:r>
      <w:r w:rsidRPr="00E6522E">
        <w:rPr>
          <w:rFonts w:cstheme="minorHAnsi"/>
        </w:rPr>
        <w:t xml:space="preserve">based on the </w:t>
      </w:r>
      <w:r w:rsidR="00865058" w:rsidRPr="00E6522E">
        <w:rPr>
          <w:rFonts w:cstheme="minorHAnsi"/>
          <w:lang w:val="ka-GE"/>
        </w:rPr>
        <w:t>projections</w:t>
      </w:r>
      <w:r w:rsidRPr="00E6522E">
        <w:rPr>
          <w:rFonts w:cstheme="minorHAnsi"/>
          <w:lang w:val="ka-GE"/>
        </w:rPr>
        <w:t xml:space="preserve"> of ma</w:t>
      </w:r>
      <w:r w:rsidR="00865058" w:rsidRPr="00E6522E">
        <w:rPr>
          <w:rFonts w:cstheme="minorHAnsi"/>
          <w:lang w:val="ka-GE"/>
        </w:rPr>
        <w:t>croeconomic indicators</w:t>
      </w:r>
      <w:r w:rsidR="00FD4606">
        <w:rPr>
          <w:rFonts w:cstheme="minorHAnsi"/>
        </w:rPr>
        <w:t>.</w:t>
      </w:r>
      <w:r w:rsidR="00FD4606" w:rsidRPr="00E6522E">
        <w:rPr>
          <w:rFonts w:cstheme="minorHAnsi"/>
        </w:rPr>
        <w:t xml:space="preserve"> </w:t>
      </w:r>
      <w:r w:rsidR="00FD4606">
        <w:rPr>
          <w:rFonts w:cstheme="minorHAnsi"/>
        </w:rPr>
        <w:t xml:space="preserve">It also considers expected changes in the </w:t>
      </w:r>
      <w:r w:rsidR="00865058" w:rsidRPr="00E6522E">
        <w:rPr>
          <w:rFonts w:cstheme="minorHAnsi"/>
        </w:rPr>
        <w:t>national tax policy</w:t>
      </w:r>
      <w:r w:rsidR="00865058" w:rsidRPr="00E6522E">
        <w:rPr>
          <w:rFonts w:cstheme="minorHAnsi"/>
          <w:lang w:val="ka-GE"/>
        </w:rPr>
        <w:t xml:space="preserve"> </w:t>
      </w:r>
      <w:r w:rsidR="00FD4606">
        <w:rPr>
          <w:rFonts w:cstheme="minorHAnsi"/>
        </w:rPr>
        <w:t>and an</w:t>
      </w:r>
      <w:r w:rsidR="00865058" w:rsidRPr="00E6522E">
        <w:rPr>
          <w:rFonts w:cstheme="minorHAnsi"/>
        </w:rPr>
        <w:t xml:space="preserve"> improvement in </w:t>
      </w:r>
      <w:r w:rsidRPr="00E6522E">
        <w:rPr>
          <w:rFonts w:cstheme="minorHAnsi"/>
          <w:lang w:val="ka-GE"/>
        </w:rPr>
        <w:t>tax</w:t>
      </w:r>
      <w:r w:rsidR="00865058" w:rsidRPr="00E6522E">
        <w:rPr>
          <w:rFonts w:cstheme="minorHAnsi"/>
        </w:rPr>
        <w:t xml:space="preserve"> </w:t>
      </w:r>
      <w:r w:rsidRPr="00E6522E">
        <w:rPr>
          <w:rFonts w:cstheme="minorHAnsi"/>
          <w:lang w:val="ka-GE"/>
        </w:rPr>
        <w:t xml:space="preserve">administration. The current medium-term fiscal forecast is developed in consultation with the IMF and reflects the costs associated with </w:t>
      </w:r>
      <w:r w:rsidR="00865058" w:rsidRPr="00E6522E">
        <w:rPr>
          <w:rFonts w:cstheme="minorHAnsi"/>
        </w:rPr>
        <w:t xml:space="preserve">major policy change related to </w:t>
      </w:r>
      <w:r w:rsidRPr="00E6522E">
        <w:rPr>
          <w:rFonts w:cstheme="minorHAnsi"/>
          <w:lang w:val="ka-GE"/>
        </w:rPr>
        <w:t>education reform.</w:t>
      </w:r>
    </w:p>
    <w:p w:rsidR="00A21683" w:rsidRPr="00E6522E" w:rsidRDefault="00A21683" w:rsidP="00C551C7">
      <w:pPr>
        <w:pStyle w:val="NoSpacing"/>
        <w:ind w:left="1080"/>
        <w:jc w:val="both"/>
        <w:rPr>
          <w:rFonts w:cstheme="minorHAnsi"/>
          <w:lang w:val="ka-GE"/>
        </w:rPr>
      </w:pPr>
    </w:p>
    <w:tbl>
      <w:tblPr>
        <w:tblW w:w="9758" w:type="dxa"/>
        <w:tblLayout w:type="fixed"/>
        <w:tblLook w:val="04A0" w:firstRow="1" w:lastRow="0" w:firstColumn="1" w:lastColumn="0" w:noHBand="0" w:noVBand="1"/>
      </w:tblPr>
      <w:tblGrid>
        <w:gridCol w:w="4730"/>
        <w:gridCol w:w="1099"/>
        <w:gridCol w:w="1096"/>
        <w:gridCol w:w="945"/>
        <w:gridCol w:w="945"/>
        <w:gridCol w:w="943"/>
      </w:tblGrid>
      <w:tr w:rsidR="00A21683" w:rsidRPr="00E6522E" w:rsidTr="004061D7">
        <w:trPr>
          <w:trHeight w:val="300"/>
        </w:trPr>
        <w:tc>
          <w:tcPr>
            <w:tcW w:w="4730" w:type="dxa"/>
            <w:tcBorders>
              <w:top w:val="single" w:sz="4" w:space="0" w:color="auto"/>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rPr>
            </w:pPr>
            <w:r w:rsidRPr="00E6522E">
              <w:rPr>
                <w:rFonts w:eastAsia="Times New Roman" w:cstheme="minorHAnsi"/>
                <w:b/>
                <w:bCs/>
                <w:color w:val="000000"/>
                <w:sz w:val="20"/>
                <w:szCs w:val="20"/>
              </w:rPr>
              <w:t>Table 5. Balance of Payment</w:t>
            </w:r>
          </w:p>
        </w:tc>
        <w:tc>
          <w:tcPr>
            <w:tcW w:w="1099" w:type="dxa"/>
            <w:tcBorders>
              <w:top w:val="single" w:sz="4" w:space="0" w:color="auto"/>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p>
        </w:tc>
        <w:tc>
          <w:tcPr>
            <w:tcW w:w="1096" w:type="dxa"/>
            <w:tcBorders>
              <w:top w:val="single" w:sz="4" w:space="0" w:color="auto"/>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p>
        </w:tc>
        <w:tc>
          <w:tcPr>
            <w:tcW w:w="945" w:type="dxa"/>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p>
        </w:tc>
        <w:tc>
          <w:tcPr>
            <w:tcW w:w="945" w:type="dxa"/>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p>
        </w:tc>
        <w:tc>
          <w:tcPr>
            <w:tcW w:w="943" w:type="dxa"/>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p>
        </w:tc>
      </w:tr>
      <w:tr w:rsidR="00A21683" w:rsidRPr="00E6522E" w:rsidTr="004061D7">
        <w:trPr>
          <w:trHeight w:val="300"/>
        </w:trPr>
        <w:tc>
          <w:tcPr>
            <w:tcW w:w="4730" w:type="dxa"/>
            <w:tcBorders>
              <w:top w:val="nil"/>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rPr>
            </w:pPr>
            <w:r w:rsidRPr="00E6522E">
              <w:rPr>
                <w:rFonts w:eastAsia="Times New Roman" w:cstheme="minorHAnsi"/>
                <w:color w:val="000000"/>
                <w:sz w:val="18"/>
                <w:szCs w:val="20"/>
              </w:rPr>
              <w:t>Current Account</w:t>
            </w:r>
          </w:p>
        </w:tc>
        <w:tc>
          <w:tcPr>
            <w:tcW w:w="1099" w:type="dxa"/>
            <w:tcBorders>
              <w:top w:val="nil"/>
              <w:left w:val="nil"/>
              <w:bottom w:val="single" w:sz="4"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2018</w:t>
            </w:r>
          </w:p>
        </w:tc>
        <w:tc>
          <w:tcPr>
            <w:tcW w:w="1096" w:type="dxa"/>
            <w:tcBorders>
              <w:top w:val="nil"/>
              <w:left w:val="double" w:sz="6" w:space="0" w:color="auto"/>
              <w:bottom w:val="single" w:sz="4"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2019</w:t>
            </w:r>
          </w:p>
        </w:tc>
        <w:tc>
          <w:tcPr>
            <w:tcW w:w="945" w:type="dxa"/>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2020</w:t>
            </w:r>
          </w:p>
        </w:tc>
        <w:tc>
          <w:tcPr>
            <w:tcW w:w="945" w:type="dxa"/>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2021</w:t>
            </w:r>
          </w:p>
        </w:tc>
        <w:tc>
          <w:tcPr>
            <w:tcW w:w="943" w:type="dxa"/>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2022</w:t>
            </w:r>
          </w:p>
        </w:tc>
      </w:tr>
      <w:tr w:rsidR="004061D7" w:rsidRPr="00E6522E" w:rsidTr="004061D7">
        <w:trPr>
          <w:trHeight w:val="300"/>
        </w:trPr>
        <w:tc>
          <w:tcPr>
            <w:tcW w:w="4730" w:type="dxa"/>
            <w:tcBorders>
              <w:top w:val="nil"/>
              <w:left w:val="single" w:sz="4" w:space="0" w:color="auto"/>
              <w:bottom w:val="single" w:sz="4" w:space="0" w:color="auto"/>
              <w:right w:val="single" w:sz="4" w:space="0" w:color="auto"/>
            </w:tcBorders>
            <w:shd w:val="clear" w:color="auto" w:fill="auto"/>
            <w:noWrap/>
            <w:vAlign w:val="bottom"/>
            <w:hideMark/>
          </w:tcPr>
          <w:p w:rsidR="004061D7" w:rsidRPr="00E6522E" w:rsidRDefault="004061D7" w:rsidP="004061D7">
            <w:pPr>
              <w:spacing w:after="0" w:line="240" w:lineRule="auto"/>
              <w:rPr>
                <w:rFonts w:eastAsia="Times New Roman" w:cstheme="minorHAnsi"/>
                <w:b/>
                <w:bCs/>
                <w:color w:val="000000"/>
                <w:sz w:val="18"/>
                <w:szCs w:val="20"/>
              </w:rPr>
            </w:pPr>
            <w:r w:rsidRPr="00E6522E">
              <w:rPr>
                <w:rFonts w:eastAsia="Times New Roman" w:cstheme="minorHAnsi"/>
                <w:b/>
                <w:bCs/>
                <w:color w:val="000000"/>
                <w:sz w:val="18"/>
                <w:szCs w:val="20"/>
              </w:rPr>
              <w:t>(Million US Dollar)</w:t>
            </w:r>
          </w:p>
        </w:tc>
        <w:tc>
          <w:tcPr>
            <w:tcW w:w="1099" w:type="dxa"/>
            <w:tcBorders>
              <w:top w:val="single" w:sz="4" w:space="0" w:color="auto"/>
              <w:left w:val="single" w:sz="4" w:space="0" w:color="auto"/>
              <w:bottom w:val="single" w:sz="4" w:space="0" w:color="auto"/>
              <w:right w:val="nil"/>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Actual</w:t>
            </w:r>
          </w:p>
        </w:tc>
        <w:tc>
          <w:tcPr>
            <w:tcW w:w="1096" w:type="dxa"/>
            <w:tcBorders>
              <w:top w:val="single" w:sz="4" w:space="0" w:color="auto"/>
              <w:left w:val="double" w:sz="6" w:space="0" w:color="auto"/>
              <w:bottom w:val="single" w:sz="4" w:space="0" w:color="auto"/>
              <w:right w:val="double" w:sz="6" w:space="0" w:color="auto"/>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Expected</w:t>
            </w:r>
          </w:p>
        </w:tc>
        <w:tc>
          <w:tcPr>
            <w:tcW w:w="945" w:type="dxa"/>
            <w:tcBorders>
              <w:top w:val="single" w:sz="4" w:space="0" w:color="auto"/>
              <w:left w:val="nil"/>
              <w:bottom w:val="single" w:sz="4" w:space="0" w:color="auto"/>
              <w:right w:val="single" w:sz="4" w:space="0" w:color="auto"/>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Forecast</w:t>
            </w:r>
          </w:p>
        </w:tc>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Forecast</w:t>
            </w:r>
          </w:p>
        </w:tc>
        <w:tc>
          <w:tcPr>
            <w:tcW w:w="943" w:type="dxa"/>
            <w:tcBorders>
              <w:top w:val="nil"/>
              <w:left w:val="nil"/>
              <w:bottom w:val="single" w:sz="4" w:space="0" w:color="auto"/>
              <w:right w:val="single" w:sz="4" w:space="0" w:color="auto"/>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Forecast</w:t>
            </w:r>
          </w:p>
        </w:tc>
      </w:tr>
      <w:tr w:rsidR="00A21683" w:rsidRPr="00E6522E" w:rsidTr="004061D7">
        <w:trPr>
          <w:trHeight w:val="300"/>
        </w:trPr>
        <w:tc>
          <w:tcPr>
            <w:tcW w:w="4730" w:type="dxa"/>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lang w:val="ka-GE"/>
              </w:rPr>
            </w:pPr>
            <w:r w:rsidRPr="00E6522E">
              <w:rPr>
                <w:rFonts w:eastAsia="Times New Roman" w:cstheme="minorHAnsi"/>
                <w:b/>
                <w:bCs/>
                <w:color w:val="000000"/>
                <w:sz w:val="18"/>
                <w:szCs w:val="20"/>
              </w:rPr>
              <w:t>Previous Forecast of Current Account</w:t>
            </w:r>
          </w:p>
        </w:tc>
        <w:tc>
          <w:tcPr>
            <w:tcW w:w="1099" w:type="dxa"/>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-1,652.4</w:t>
            </w:r>
          </w:p>
        </w:tc>
        <w:tc>
          <w:tcPr>
            <w:tcW w:w="1096" w:type="dxa"/>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-1,440.1</w:t>
            </w:r>
          </w:p>
        </w:tc>
        <w:tc>
          <w:tcPr>
            <w:tcW w:w="945"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-1,424.2</w:t>
            </w:r>
          </w:p>
        </w:tc>
        <w:tc>
          <w:tcPr>
            <w:tcW w:w="945"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-1,406.2</w:t>
            </w:r>
          </w:p>
        </w:tc>
        <w:tc>
          <w:tcPr>
            <w:tcW w:w="943"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-1,368.7</w:t>
            </w:r>
          </w:p>
        </w:tc>
      </w:tr>
      <w:tr w:rsidR="00A21683" w:rsidRPr="00E6522E" w:rsidTr="004061D7">
        <w:trPr>
          <w:trHeight w:val="300"/>
        </w:trPr>
        <w:tc>
          <w:tcPr>
            <w:tcW w:w="4730" w:type="dxa"/>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180"/>
              <w:rPr>
                <w:rFonts w:eastAsia="Times New Roman" w:cstheme="minorHAnsi"/>
                <w:b/>
                <w:bCs/>
                <w:color w:val="000000"/>
              </w:rPr>
            </w:pPr>
            <w:r w:rsidRPr="00E6522E">
              <w:rPr>
                <w:rFonts w:eastAsia="Times New Roman" w:cstheme="minorHAnsi"/>
                <w:color w:val="000000"/>
                <w:sz w:val="18"/>
                <w:szCs w:val="20"/>
              </w:rPr>
              <w:t>Total Changes</w:t>
            </w:r>
          </w:p>
        </w:tc>
        <w:tc>
          <w:tcPr>
            <w:tcW w:w="1099" w:type="dxa"/>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459.6</w:t>
            </w:r>
          </w:p>
        </w:tc>
        <w:tc>
          <w:tcPr>
            <w:tcW w:w="1096" w:type="dxa"/>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720.2</w:t>
            </w:r>
          </w:p>
        </w:tc>
        <w:tc>
          <w:tcPr>
            <w:tcW w:w="945"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797.0</w:t>
            </w:r>
          </w:p>
        </w:tc>
        <w:tc>
          <w:tcPr>
            <w:tcW w:w="945"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778.4</w:t>
            </w:r>
          </w:p>
        </w:tc>
        <w:tc>
          <w:tcPr>
            <w:tcW w:w="943"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709.4</w:t>
            </w:r>
          </w:p>
        </w:tc>
      </w:tr>
      <w:tr w:rsidR="00A21683" w:rsidRPr="00E6522E" w:rsidTr="004061D7">
        <w:trPr>
          <w:trHeight w:val="300"/>
        </w:trPr>
        <w:tc>
          <w:tcPr>
            <w:tcW w:w="4730" w:type="dxa"/>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200" w:firstLine="360"/>
              <w:rPr>
                <w:rFonts w:eastAsia="Times New Roman" w:cstheme="minorHAnsi"/>
                <w:color w:val="000000"/>
                <w:sz w:val="18"/>
                <w:szCs w:val="20"/>
              </w:rPr>
            </w:pPr>
            <w:r w:rsidRPr="00E6522E">
              <w:rPr>
                <w:rFonts w:eastAsia="Times New Roman" w:cstheme="minorHAnsi"/>
                <w:color w:val="000000"/>
                <w:sz w:val="18"/>
                <w:szCs w:val="20"/>
              </w:rPr>
              <w:t>Goods</w:t>
            </w:r>
          </w:p>
        </w:tc>
        <w:tc>
          <w:tcPr>
            <w:tcW w:w="1099" w:type="dxa"/>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494.1</w:t>
            </w:r>
          </w:p>
        </w:tc>
        <w:tc>
          <w:tcPr>
            <w:tcW w:w="1096" w:type="dxa"/>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981.9</w:t>
            </w:r>
          </w:p>
        </w:tc>
        <w:tc>
          <w:tcPr>
            <w:tcW w:w="945"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1,195.0</w:t>
            </w:r>
          </w:p>
        </w:tc>
        <w:tc>
          <w:tcPr>
            <w:tcW w:w="945"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1,221.9</w:t>
            </w:r>
          </w:p>
        </w:tc>
        <w:tc>
          <w:tcPr>
            <w:tcW w:w="943"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1,302.5</w:t>
            </w:r>
          </w:p>
        </w:tc>
      </w:tr>
      <w:tr w:rsidR="00A21683" w:rsidRPr="00E6522E" w:rsidTr="004061D7">
        <w:trPr>
          <w:trHeight w:val="300"/>
        </w:trPr>
        <w:tc>
          <w:tcPr>
            <w:tcW w:w="4730" w:type="dxa"/>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200" w:firstLine="360"/>
              <w:rPr>
                <w:rFonts w:eastAsia="Times New Roman" w:cstheme="minorHAnsi"/>
                <w:color w:val="000000"/>
              </w:rPr>
            </w:pPr>
            <w:r w:rsidRPr="00E6522E">
              <w:rPr>
                <w:rFonts w:eastAsia="Times New Roman" w:cstheme="minorHAnsi"/>
                <w:color w:val="000000"/>
                <w:sz w:val="18"/>
                <w:szCs w:val="20"/>
              </w:rPr>
              <w:t>Export of Goods</w:t>
            </w:r>
          </w:p>
        </w:tc>
        <w:tc>
          <w:tcPr>
            <w:tcW w:w="1099" w:type="dxa"/>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-61.0</w:t>
            </w:r>
          </w:p>
        </w:tc>
        <w:tc>
          <w:tcPr>
            <w:tcW w:w="1096" w:type="dxa"/>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-39.0</w:t>
            </w:r>
          </w:p>
        </w:tc>
        <w:tc>
          <w:tcPr>
            <w:tcW w:w="945"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-17.3</w:t>
            </w:r>
          </w:p>
        </w:tc>
        <w:tc>
          <w:tcPr>
            <w:tcW w:w="945"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-54.1</w:t>
            </w:r>
          </w:p>
        </w:tc>
        <w:tc>
          <w:tcPr>
            <w:tcW w:w="943"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-124.9</w:t>
            </w:r>
          </w:p>
        </w:tc>
      </w:tr>
      <w:tr w:rsidR="00A21683" w:rsidRPr="00E6522E" w:rsidTr="004061D7">
        <w:trPr>
          <w:trHeight w:val="300"/>
        </w:trPr>
        <w:tc>
          <w:tcPr>
            <w:tcW w:w="4730" w:type="dxa"/>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180"/>
              <w:rPr>
                <w:rFonts w:eastAsia="Times New Roman" w:cstheme="minorHAnsi"/>
                <w:color w:val="000000"/>
              </w:rPr>
            </w:pPr>
            <w:r w:rsidRPr="00E6522E">
              <w:rPr>
                <w:rFonts w:eastAsia="Times New Roman" w:cstheme="minorHAnsi"/>
                <w:color w:val="000000"/>
                <w:sz w:val="18"/>
                <w:szCs w:val="20"/>
              </w:rPr>
              <w:t>Import of Goods</w:t>
            </w:r>
          </w:p>
        </w:tc>
        <w:tc>
          <w:tcPr>
            <w:tcW w:w="1099" w:type="dxa"/>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-555.2</w:t>
            </w:r>
          </w:p>
        </w:tc>
        <w:tc>
          <w:tcPr>
            <w:tcW w:w="1096" w:type="dxa"/>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-1,021.0</w:t>
            </w:r>
          </w:p>
        </w:tc>
        <w:tc>
          <w:tcPr>
            <w:tcW w:w="945"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-1,212.3</w:t>
            </w:r>
          </w:p>
        </w:tc>
        <w:tc>
          <w:tcPr>
            <w:tcW w:w="945"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-1,276.0</w:t>
            </w:r>
          </w:p>
        </w:tc>
        <w:tc>
          <w:tcPr>
            <w:tcW w:w="943"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-1,427.4</w:t>
            </w:r>
          </w:p>
        </w:tc>
      </w:tr>
      <w:tr w:rsidR="00A21683" w:rsidRPr="00E6522E" w:rsidTr="004061D7">
        <w:trPr>
          <w:trHeight w:val="300"/>
        </w:trPr>
        <w:tc>
          <w:tcPr>
            <w:tcW w:w="4730" w:type="dxa"/>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200" w:firstLine="360"/>
              <w:rPr>
                <w:rFonts w:eastAsia="Times New Roman" w:cstheme="minorHAnsi"/>
                <w:color w:val="000000"/>
                <w:sz w:val="18"/>
                <w:szCs w:val="20"/>
              </w:rPr>
            </w:pPr>
            <w:r w:rsidRPr="00E6522E">
              <w:rPr>
                <w:rFonts w:eastAsia="Times New Roman" w:cstheme="minorHAnsi"/>
                <w:color w:val="000000"/>
                <w:sz w:val="18"/>
                <w:szCs w:val="20"/>
              </w:rPr>
              <w:t>Services</w:t>
            </w:r>
          </w:p>
        </w:tc>
        <w:tc>
          <w:tcPr>
            <w:tcW w:w="1099" w:type="dxa"/>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-236.2</w:t>
            </w:r>
          </w:p>
        </w:tc>
        <w:tc>
          <w:tcPr>
            <w:tcW w:w="1096" w:type="dxa"/>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-463.6</w:t>
            </w:r>
          </w:p>
        </w:tc>
        <w:tc>
          <w:tcPr>
            <w:tcW w:w="945"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-514.6</w:t>
            </w:r>
          </w:p>
        </w:tc>
        <w:tc>
          <w:tcPr>
            <w:tcW w:w="945"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-644.7</w:t>
            </w:r>
          </w:p>
        </w:tc>
        <w:tc>
          <w:tcPr>
            <w:tcW w:w="943"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-859.1</w:t>
            </w:r>
          </w:p>
        </w:tc>
      </w:tr>
      <w:tr w:rsidR="00A21683" w:rsidRPr="00E6522E" w:rsidTr="004061D7">
        <w:trPr>
          <w:trHeight w:val="300"/>
        </w:trPr>
        <w:tc>
          <w:tcPr>
            <w:tcW w:w="4730" w:type="dxa"/>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200" w:firstLine="360"/>
              <w:rPr>
                <w:rFonts w:eastAsia="Times New Roman" w:cstheme="minorHAnsi"/>
                <w:color w:val="000000"/>
              </w:rPr>
            </w:pPr>
            <w:r w:rsidRPr="00E6522E">
              <w:rPr>
                <w:rFonts w:eastAsia="Times New Roman" w:cstheme="minorHAnsi"/>
                <w:color w:val="000000"/>
                <w:sz w:val="18"/>
                <w:szCs w:val="20"/>
              </w:rPr>
              <w:t>Export of Services</w:t>
            </w:r>
          </w:p>
        </w:tc>
        <w:tc>
          <w:tcPr>
            <w:tcW w:w="1099" w:type="dxa"/>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-308.3</w:t>
            </w:r>
          </w:p>
        </w:tc>
        <w:tc>
          <w:tcPr>
            <w:tcW w:w="1096" w:type="dxa"/>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-502.0</w:t>
            </w:r>
          </w:p>
        </w:tc>
        <w:tc>
          <w:tcPr>
            <w:tcW w:w="945"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-530.2</w:t>
            </w:r>
          </w:p>
        </w:tc>
        <w:tc>
          <w:tcPr>
            <w:tcW w:w="945"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-605.9</w:t>
            </w:r>
          </w:p>
        </w:tc>
        <w:tc>
          <w:tcPr>
            <w:tcW w:w="943"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-766.6</w:t>
            </w:r>
          </w:p>
        </w:tc>
      </w:tr>
      <w:tr w:rsidR="00A21683" w:rsidRPr="00E6522E" w:rsidTr="004061D7">
        <w:trPr>
          <w:trHeight w:val="300"/>
        </w:trPr>
        <w:tc>
          <w:tcPr>
            <w:tcW w:w="4730" w:type="dxa"/>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180"/>
              <w:rPr>
                <w:rFonts w:eastAsia="Times New Roman" w:cstheme="minorHAnsi"/>
                <w:color w:val="000000"/>
                <w:sz w:val="18"/>
                <w:szCs w:val="20"/>
              </w:rPr>
            </w:pPr>
            <w:r w:rsidRPr="00E6522E">
              <w:rPr>
                <w:rFonts w:eastAsia="Times New Roman" w:cstheme="minorHAnsi"/>
                <w:color w:val="000000"/>
                <w:sz w:val="18"/>
                <w:szCs w:val="20"/>
              </w:rPr>
              <w:t>Import of Services</w:t>
            </w:r>
          </w:p>
        </w:tc>
        <w:tc>
          <w:tcPr>
            <w:tcW w:w="1099" w:type="dxa"/>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-72.1</w:t>
            </w:r>
          </w:p>
        </w:tc>
        <w:tc>
          <w:tcPr>
            <w:tcW w:w="1096" w:type="dxa"/>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-38.4</w:t>
            </w:r>
          </w:p>
        </w:tc>
        <w:tc>
          <w:tcPr>
            <w:tcW w:w="945"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-15.6</w:t>
            </w:r>
          </w:p>
        </w:tc>
        <w:tc>
          <w:tcPr>
            <w:tcW w:w="945"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38.8</w:t>
            </w:r>
          </w:p>
        </w:tc>
        <w:tc>
          <w:tcPr>
            <w:tcW w:w="943"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92.5</w:t>
            </w:r>
          </w:p>
        </w:tc>
      </w:tr>
      <w:tr w:rsidR="00A21683" w:rsidRPr="00E6522E" w:rsidTr="004061D7">
        <w:trPr>
          <w:trHeight w:val="300"/>
        </w:trPr>
        <w:tc>
          <w:tcPr>
            <w:tcW w:w="4730" w:type="dxa"/>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180"/>
              <w:rPr>
                <w:rFonts w:eastAsia="Times New Roman" w:cstheme="minorHAnsi"/>
                <w:color w:val="000000"/>
                <w:sz w:val="18"/>
                <w:szCs w:val="20"/>
              </w:rPr>
            </w:pPr>
            <w:r w:rsidRPr="00E6522E">
              <w:rPr>
                <w:rFonts w:eastAsia="Times New Roman" w:cstheme="minorHAnsi"/>
                <w:color w:val="000000"/>
                <w:sz w:val="18"/>
                <w:szCs w:val="20"/>
              </w:rPr>
              <w:t>Primary Income</w:t>
            </w:r>
          </w:p>
        </w:tc>
        <w:tc>
          <w:tcPr>
            <w:tcW w:w="1099" w:type="dxa"/>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148.4</w:t>
            </w:r>
          </w:p>
        </w:tc>
        <w:tc>
          <w:tcPr>
            <w:tcW w:w="1096" w:type="dxa"/>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227.8</w:t>
            </w:r>
          </w:p>
        </w:tc>
        <w:tc>
          <w:tcPr>
            <w:tcW w:w="945"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277.1</w:t>
            </w:r>
          </w:p>
        </w:tc>
        <w:tc>
          <w:tcPr>
            <w:tcW w:w="945"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346.4</w:t>
            </w:r>
          </w:p>
        </w:tc>
        <w:tc>
          <w:tcPr>
            <w:tcW w:w="943"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429.7</w:t>
            </w:r>
          </w:p>
        </w:tc>
      </w:tr>
      <w:tr w:rsidR="00A21683" w:rsidRPr="00E6522E" w:rsidTr="004061D7">
        <w:trPr>
          <w:trHeight w:val="300"/>
        </w:trPr>
        <w:tc>
          <w:tcPr>
            <w:tcW w:w="4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sz w:val="18"/>
                <w:szCs w:val="20"/>
              </w:rPr>
            </w:pPr>
            <w:r w:rsidRPr="00E6522E">
              <w:rPr>
                <w:rFonts w:eastAsia="Times New Roman" w:cstheme="minorHAnsi"/>
                <w:b/>
                <w:bCs/>
                <w:color w:val="000000"/>
                <w:sz w:val="18"/>
                <w:szCs w:val="20"/>
              </w:rPr>
              <w:t>Secondary Income (Transfers)</w:t>
            </w:r>
          </w:p>
        </w:tc>
        <w:tc>
          <w:tcPr>
            <w:tcW w:w="1099" w:type="dxa"/>
            <w:tcBorders>
              <w:top w:val="single" w:sz="4" w:space="0" w:color="auto"/>
              <w:left w:val="single" w:sz="4" w:space="0" w:color="auto"/>
              <w:bottom w:val="single" w:sz="4"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53.3</w:t>
            </w:r>
          </w:p>
        </w:tc>
        <w:tc>
          <w:tcPr>
            <w:tcW w:w="1096" w:type="dxa"/>
            <w:tcBorders>
              <w:top w:val="single" w:sz="4" w:space="0" w:color="auto"/>
              <w:left w:val="double" w:sz="6" w:space="0" w:color="auto"/>
              <w:bottom w:val="single" w:sz="4"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-26.0</w:t>
            </w:r>
          </w:p>
        </w:tc>
        <w:tc>
          <w:tcPr>
            <w:tcW w:w="945" w:type="dxa"/>
            <w:tcBorders>
              <w:top w:val="single" w:sz="4" w:space="0" w:color="auto"/>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-160.5</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-145.3</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-163.7</w:t>
            </w:r>
          </w:p>
        </w:tc>
      </w:tr>
      <w:tr w:rsidR="00A21683" w:rsidRPr="00E6522E" w:rsidTr="004061D7">
        <w:trPr>
          <w:trHeight w:val="300"/>
        </w:trPr>
        <w:tc>
          <w:tcPr>
            <w:tcW w:w="4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rPr>
            </w:pPr>
            <w:r w:rsidRPr="00E6522E">
              <w:rPr>
                <w:rFonts w:eastAsia="Times New Roman" w:cstheme="minorHAnsi"/>
                <w:b/>
                <w:bCs/>
                <w:color w:val="000000"/>
                <w:sz w:val="18"/>
                <w:szCs w:val="20"/>
              </w:rPr>
              <w:t>Updated Forecast of Current Account</w:t>
            </w:r>
          </w:p>
        </w:tc>
        <w:tc>
          <w:tcPr>
            <w:tcW w:w="1099" w:type="dxa"/>
            <w:tcBorders>
              <w:top w:val="single" w:sz="4" w:space="0" w:color="auto"/>
              <w:left w:val="single" w:sz="4" w:space="0" w:color="auto"/>
              <w:bottom w:val="single" w:sz="4"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rPr>
            </w:pPr>
            <w:r w:rsidRPr="00E6522E">
              <w:rPr>
                <w:rFonts w:eastAsia="Times New Roman" w:cstheme="minorHAnsi"/>
                <w:b/>
                <w:bCs/>
                <w:color w:val="000000"/>
              </w:rPr>
              <w:t>-1,192.7</w:t>
            </w:r>
          </w:p>
        </w:tc>
        <w:tc>
          <w:tcPr>
            <w:tcW w:w="1096" w:type="dxa"/>
            <w:tcBorders>
              <w:top w:val="single" w:sz="4" w:space="0" w:color="auto"/>
              <w:left w:val="double" w:sz="6" w:space="0" w:color="auto"/>
              <w:bottom w:val="single" w:sz="4"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rPr>
            </w:pPr>
            <w:r w:rsidRPr="00E6522E">
              <w:rPr>
                <w:rFonts w:eastAsia="Times New Roman" w:cstheme="minorHAnsi"/>
                <w:b/>
                <w:bCs/>
                <w:color w:val="000000"/>
              </w:rPr>
              <w:t>-720.0</w:t>
            </w:r>
          </w:p>
        </w:tc>
        <w:tc>
          <w:tcPr>
            <w:tcW w:w="945" w:type="dxa"/>
            <w:tcBorders>
              <w:top w:val="single" w:sz="4" w:space="0" w:color="auto"/>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rPr>
            </w:pPr>
            <w:r w:rsidRPr="00E6522E">
              <w:rPr>
                <w:rFonts w:eastAsia="Times New Roman" w:cstheme="minorHAnsi"/>
                <w:b/>
                <w:bCs/>
                <w:color w:val="000000"/>
              </w:rPr>
              <w:t>-627.2</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rPr>
            </w:pPr>
            <w:r w:rsidRPr="00E6522E">
              <w:rPr>
                <w:rFonts w:eastAsia="Times New Roman" w:cstheme="minorHAnsi"/>
                <w:b/>
                <w:bCs/>
                <w:color w:val="000000"/>
              </w:rPr>
              <w:t>-627.8</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rPr>
            </w:pPr>
            <w:r w:rsidRPr="00E6522E">
              <w:rPr>
                <w:rFonts w:eastAsia="Times New Roman" w:cstheme="minorHAnsi"/>
                <w:b/>
                <w:bCs/>
                <w:color w:val="000000"/>
              </w:rPr>
              <w:t>-659.3</w:t>
            </w:r>
          </w:p>
        </w:tc>
      </w:tr>
    </w:tbl>
    <w:p w:rsidR="00A21683" w:rsidRPr="00E6522E" w:rsidRDefault="00A21683" w:rsidP="00C551C7">
      <w:pPr>
        <w:pStyle w:val="NoSpacing"/>
        <w:ind w:left="1080"/>
        <w:jc w:val="both"/>
        <w:rPr>
          <w:rFonts w:cstheme="minorHAnsi"/>
          <w:lang w:val="ka-GE"/>
        </w:rPr>
      </w:pPr>
    </w:p>
    <w:p w:rsidR="00A21683" w:rsidRPr="00E6522E" w:rsidRDefault="00A21683" w:rsidP="00A21683">
      <w:pPr>
        <w:pStyle w:val="NoSpacing"/>
        <w:spacing w:after="240"/>
        <w:jc w:val="both"/>
        <w:rPr>
          <w:rFonts w:cstheme="minorHAnsi"/>
          <w:lang w:val="ka-GE"/>
        </w:rPr>
      </w:pPr>
      <w:r w:rsidRPr="00E6522E">
        <w:rPr>
          <w:rFonts w:cstheme="minorHAnsi"/>
          <w:lang w:val="ka-GE"/>
        </w:rPr>
        <w:t xml:space="preserve">The forecast of the current </w:t>
      </w:r>
      <w:r w:rsidRPr="00E6522E">
        <w:rPr>
          <w:rFonts w:cstheme="minorHAnsi"/>
        </w:rPr>
        <w:t>account balance</w:t>
      </w:r>
      <w:r w:rsidRPr="00E6522E">
        <w:rPr>
          <w:rFonts w:cstheme="minorHAnsi"/>
          <w:lang w:val="ka-GE"/>
        </w:rPr>
        <w:t xml:space="preserve"> of the country has also</w:t>
      </w:r>
      <w:r w:rsidR="00865058" w:rsidRPr="00E6522E">
        <w:rPr>
          <w:rFonts w:cstheme="minorHAnsi"/>
        </w:rPr>
        <w:t xml:space="preserve"> been updated</w:t>
      </w:r>
      <w:r w:rsidR="00865058" w:rsidRPr="00E6522E">
        <w:rPr>
          <w:rFonts w:cstheme="minorHAnsi"/>
          <w:lang w:val="ka-GE"/>
        </w:rPr>
        <w:t>. Specifically,</w:t>
      </w:r>
      <w:r w:rsidR="00FD4606">
        <w:rPr>
          <w:rFonts w:cstheme="minorHAnsi"/>
        </w:rPr>
        <w:t xml:space="preserve"> </w:t>
      </w:r>
      <w:r w:rsidR="00865058" w:rsidRPr="00E6522E">
        <w:rPr>
          <w:rFonts w:cstheme="minorHAnsi"/>
          <w:lang w:val="ka-GE"/>
        </w:rPr>
        <w:t xml:space="preserve">projections for </w:t>
      </w:r>
      <w:r w:rsidRPr="00E6522E">
        <w:rPr>
          <w:rFonts w:cstheme="minorHAnsi"/>
          <w:lang w:val="ka-GE"/>
        </w:rPr>
        <w:t>both export and import have been reduced</w:t>
      </w:r>
      <w:r w:rsidR="00FD4606">
        <w:rPr>
          <w:rFonts w:cstheme="minorHAnsi"/>
        </w:rPr>
        <w:t>.</w:t>
      </w:r>
      <w:r w:rsidR="00FD4606" w:rsidRPr="00E6522E">
        <w:rPr>
          <w:rFonts w:cstheme="minorHAnsi"/>
          <w:lang w:val="ka-GE"/>
        </w:rPr>
        <w:t xml:space="preserve"> </w:t>
      </w:r>
      <w:r w:rsidR="00FD4606">
        <w:rPr>
          <w:rFonts w:cstheme="minorHAnsi"/>
        </w:rPr>
        <w:t>H</w:t>
      </w:r>
      <w:r w:rsidR="00FD4606" w:rsidRPr="00E6522E">
        <w:rPr>
          <w:rFonts w:cstheme="minorHAnsi"/>
        </w:rPr>
        <w:t>owever</w:t>
      </w:r>
      <w:r w:rsidRPr="00E6522E">
        <w:rPr>
          <w:rFonts w:cstheme="minorHAnsi"/>
        </w:rPr>
        <w:t>, reduction in</w:t>
      </w:r>
      <w:r w:rsidRPr="00E6522E">
        <w:rPr>
          <w:rFonts w:cstheme="minorHAnsi"/>
          <w:lang w:val="ka-GE"/>
        </w:rPr>
        <w:t xml:space="preserve"> imports </w:t>
      </w:r>
      <w:r w:rsidRPr="00E6522E">
        <w:rPr>
          <w:rFonts w:cstheme="minorHAnsi"/>
        </w:rPr>
        <w:t>is</w:t>
      </w:r>
      <w:r w:rsidRPr="00E6522E">
        <w:rPr>
          <w:rFonts w:cstheme="minorHAnsi"/>
          <w:lang w:val="ka-GE"/>
        </w:rPr>
        <w:t xml:space="preserve"> higher than</w:t>
      </w:r>
      <w:r w:rsidRPr="00E6522E">
        <w:rPr>
          <w:rFonts w:cstheme="minorHAnsi"/>
        </w:rPr>
        <w:t xml:space="preserve"> in</w:t>
      </w:r>
      <w:r w:rsidRPr="00E6522E">
        <w:rPr>
          <w:rFonts w:cstheme="minorHAnsi"/>
          <w:lang w:val="ka-GE"/>
        </w:rPr>
        <w:t xml:space="preserve"> exports</w:t>
      </w:r>
      <w:r w:rsidR="00FD4606">
        <w:rPr>
          <w:rFonts w:cstheme="minorHAnsi"/>
        </w:rPr>
        <w:t>,</w:t>
      </w:r>
      <w:r w:rsidR="00865058" w:rsidRPr="00E6522E">
        <w:rPr>
          <w:rFonts w:cstheme="minorHAnsi"/>
        </w:rPr>
        <w:t xml:space="preserve"> </w:t>
      </w:r>
      <w:r w:rsidR="00FD4606">
        <w:rPr>
          <w:rFonts w:cstheme="minorHAnsi"/>
        </w:rPr>
        <w:t xml:space="preserve">which leads the </w:t>
      </w:r>
      <w:r w:rsidRPr="00E6522E">
        <w:rPr>
          <w:rFonts w:cstheme="minorHAnsi"/>
          <w:lang w:val="ka-GE"/>
        </w:rPr>
        <w:t>balance of goods and services</w:t>
      </w:r>
      <w:r w:rsidR="00FD4606">
        <w:rPr>
          <w:rFonts w:cstheme="minorHAnsi"/>
        </w:rPr>
        <w:t xml:space="preserve"> to improve</w:t>
      </w:r>
      <w:r w:rsidR="00865058" w:rsidRPr="00E6522E">
        <w:rPr>
          <w:rFonts w:cstheme="minorHAnsi"/>
        </w:rPr>
        <w:t xml:space="preserve">. </w:t>
      </w:r>
      <w:r w:rsidRPr="00E6522E">
        <w:rPr>
          <w:rFonts w:cstheme="minorHAnsi"/>
          <w:lang w:val="ka-GE"/>
        </w:rPr>
        <w:t xml:space="preserve">Changes in </w:t>
      </w:r>
      <w:r w:rsidR="00834FD5" w:rsidRPr="00E6522E">
        <w:rPr>
          <w:rFonts w:cstheme="minorHAnsi"/>
          <w:lang w:val="ka-GE"/>
        </w:rPr>
        <w:t xml:space="preserve">export and import forecasts </w:t>
      </w:r>
      <w:r w:rsidR="00834FD5" w:rsidRPr="00E6522E">
        <w:rPr>
          <w:rFonts w:cstheme="minorHAnsi"/>
        </w:rPr>
        <w:t>depict</w:t>
      </w:r>
      <w:r w:rsidRPr="00E6522E">
        <w:rPr>
          <w:rFonts w:cstheme="minorHAnsi"/>
          <w:lang w:val="ka-GE"/>
        </w:rPr>
        <w:t xml:space="preserve"> recent trends</w:t>
      </w:r>
      <w:r w:rsidR="00FC4156" w:rsidRPr="00E6522E">
        <w:rPr>
          <w:rFonts w:cstheme="minorHAnsi"/>
        </w:rPr>
        <w:t xml:space="preserve"> and outcomes</w:t>
      </w:r>
      <w:r w:rsidRPr="00E6522E">
        <w:rPr>
          <w:rFonts w:cstheme="minorHAnsi"/>
          <w:lang w:val="ka-GE"/>
        </w:rPr>
        <w:t xml:space="preserve">, when the economy showed </w:t>
      </w:r>
      <w:r w:rsidRPr="00E6522E">
        <w:rPr>
          <w:rFonts w:cstheme="minorHAnsi"/>
        </w:rPr>
        <w:t>higher</w:t>
      </w:r>
      <w:r w:rsidRPr="00E6522E">
        <w:rPr>
          <w:rFonts w:cstheme="minorHAnsi"/>
          <w:lang w:val="ka-GE"/>
        </w:rPr>
        <w:t xml:space="preserve"> </w:t>
      </w:r>
      <w:r w:rsidR="00FC4156" w:rsidRPr="00E6522E">
        <w:rPr>
          <w:rFonts w:cstheme="minorHAnsi"/>
        </w:rPr>
        <w:t>resilience</w:t>
      </w:r>
      <w:r w:rsidRPr="00E6522E">
        <w:rPr>
          <w:rFonts w:cstheme="minorHAnsi"/>
          <w:lang w:val="ka-GE"/>
        </w:rPr>
        <w:t xml:space="preserve"> to foreign shocks and </w:t>
      </w:r>
      <w:r w:rsidR="00FD4606">
        <w:rPr>
          <w:rFonts w:cstheme="minorHAnsi"/>
        </w:rPr>
        <w:t xml:space="preserve">net </w:t>
      </w:r>
      <w:r w:rsidR="00FD4606" w:rsidRPr="00E6522E">
        <w:rPr>
          <w:rFonts w:cstheme="minorHAnsi"/>
        </w:rPr>
        <w:t>export figures have increased</w:t>
      </w:r>
      <w:r w:rsidR="00FD4606">
        <w:rPr>
          <w:rFonts w:cstheme="minorHAnsi"/>
        </w:rPr>
        <w:t>,</w:t>
      </w:r>
      <w:r w:rsidR="00FD4606" w:rsidRPr="00E6522E">
        <w:rPr>
          <w:rFonts w:cstheme="minorHAnsi"/>
        </w:rPr>
        <w:t xml:space="preserve"> </w:t>
      </w:r>
      <w:r w:rsidRPr="00E6522E">
        <w:rPr>
          <w:rFonts w:cstheme="minorHAnsi"/>
        </w:rPr>
        <w:t>while having s</w:t>
      </w:r>
      <w:r w:rsidRPr="00E6522E">
        <w:rPr>
          <w:rFonts w:cstheme="minorHAnsi"/>
          <w:lang w:val="ka-GE"/>
        </w:rPr>
        <w:t>hrinked foreign demand</w:t>
      </w:r>
      <w:r w:rsidR="00640A82" w:rsidRPr="00E6522E">
        <w:rPr>
          <w:rFonts w:cstheme="minorHAnsi"/>
        </w:rPr>
        <w:t>.</w:t>
      </w:r>
    </w:p>
    <w:p w:rsidR="00A21683" w:rsidRPr="00E6522E" w:rsidRDefault="00A21683" w:rsidP="00A21683">
      <w:pPr>
        <w:pStyle w:val="NoSpacing"/>
        <w:spacing w:after="240"/>
        <w:jc w:val="both"/>
        <w:rPr>
          <w:rFonts w:cstheme="minorHAnsi"/>
          <w:lang w:val="ka-GE"/>
        </w:rPr>
      </w:pPr>
      <w:r w:rsidRPr="00E6522E">
        <w:rPr>
          <w:rFonts w:cstheme="minorHAnsi"/>
          <w:lang w:val="ka-GE"/>
        </w:rPr>
        <w:t xml:space="preserve">Factor </w:t>
      </w:r>
      <w:r w:rsidRPr="00E6522E">
        <w:rPr>
          <w:rFonts w:cstheme="minorHAnsi"/>
        </w:rPr>
        <w:t>income</w:t>
      </w:r>
      <w:r w:rsidRPr="00E6522E">
        <w:rPr>
          <w:rFonts w:cstheme="minorHAnsi"/>
          <w:lang w:val="ka-GE"/>
        </w:rPr>
        <w:t xml:space="preserve"> </w:t>
      </w:r>
      <w:r w:rsidRPr="00E6522E">
        <w:rPr>
          <w:rFonts w:cstheme="minorHAnsi"/>
        </w:rPr>
        <w:t>forecasts</w:t>
      </w:r>
      <w:r w:rsidRPr="00E6522E">
        <w:rPr>
          <w:rFonts w:cstheme="minorHAnsi"/>
          <w:lang w:val="ka-GE"/>
        </w:rPr>
        <w:t xml:space="preserve"> have increased. Income forecasts have been influenced by</w:t>
      </w:r>
      <w:r w:rsidR="00640A82" w:rsidRPr="00E6522E">
        <w:rPr>
          <w:rFonts w:cstheme="minorHAnsi"/>
        </w:rPr>
        <w:t xml:space="preserve"> 2018</w:t>
      </w:r>
      <w:r w:rsidRPr="00E6522E">
        <w:rPr>
          <w:rFonts w:cstheme="minorHAnsi"/>
          <w:lang w:val="ka-GE"/>
        </w:rPr>
        <w:t xml:space="preserve"> trends</w:t>
      </w:r>
      <w:r w:rsidR="00640A82" w:rsidRPr="00E6522E">
        <w:rPr>
          <w:rFonts w:cstheme="minorHAnsi"/>
        </w:rPr>
        <w:t>.</w:t>
      </w:r>
      <w:r w:rsidRPr="00E6522E">
        <w:rPr>
          <w:rFonts w:cstheme="minorHAnsi"/>
          <w:lang w:val="ka-GE"/>
        </w:rPr>
        <w:t xml:space="preserve"> In particular, gross external debt is reduced and international investment position </w:t>
      </w:r>
      <w:r w:rsidR="00640A82" w:rsidRPr="00E6522E">
        <w:rPr>
          <w:rFonts w:cstheme="minorHAnsi"/>
        </w:rPr>
        <w:t xml:space="preserve">is </w:t>
      </w:r>
      <w:r w:rsidRPr="00E6522E">
        <w:rPr>
          <w:rFonts w:cstheme="minorHAnsi"/>
          <w:lang w:val="ka-GE"/>
        </w:rPr>
        <w:t xml:space="preserve">improved, which reduces current factor payments abroad. </w:t>
      </w:r>
      <w:r w:rsidRPr="00E6522E">
        <w:rPr>
          <w:rFonts w:cstheme="minorHAnsi"/>
        </w:rPr>
        <w:t>At the same time</w:t>
      </w:r>
      <w:r w:rsidRPr="00E6522E">
        <w:rPr>
          <w:rFonts w:cstheme="minorHAnsi"/>
          <w:lang w:val="ka-GE"/>
        </w:rPr>
        <w:t xml:space="preserve">, current transfers slightly </w:t>
      </w:r>
      <w:r w:rsidR="00D768EE" w:rsidRPr="00E6522E">
        <w:rPr>
          <w:rFonts w:cstheme="minorHAnsi"/>
          <w:lang w:val="ka-GE"/>
        </w:rPr>
        <w:t>reduced</w:t>
      </w:r>
      <w:r w:rsidR="00F57F5E">
        <w:rPr>
          <w:rFonts w:cstheme="minorHAnsi"/>
        </w:rPr>
        <w:t>,</w:t>
      </w:r>
      <w:r w:rsidR="00640A82" w:rsidRPr="00E6522E">
        <w:rPr>
          <w:rFonts w:cstheme="minorHAnsi"/>
        </w:rPr>
        <w:t xml:space="preserve"> but</w:t>
      </w:r>
      <w:r w:rsidRPr="00E6522E">
        <w:rPr>
          <w:rFonts w:cstheme="minorHAnsi"/>
          <w:lang w:val="ka-GE"/>
        </w:rPr>
        <w:t xml:space="preserve"> the overall effect on the current account balance is positive.</w:t>
      </w:r>
    </w:p>
    <w:p w:rsidR="00A21683" w:rsidRPr="00E6522E" w:rsidRDefault="00A21683" w:rsidP="00A21683">
      <w:pPr>
        <w:pStyle w:val="NoSpacing"/>
        <w:jc w:val="both"/>
        <w:rPr>
          <w:rFonts w:cstheme="minorHAnsi"/>
          <w:lang w:val="ka-GE"/>
        </w:rPr>
      </w:pPr>
      <w:r w:rsidRPr="00E6522E">
        <w:rPr>
          <w:rFonts w:cstheme="minorHAnsi"/>
          <w:lang w:val="ka-GE"/>
        </w:rPr>
        <w:t xml:space="preserve">The forecast of monetary indicators </w:t>
      </w:r>
      <w:r w:rsidR="00F57F5E">
        <w:rPr>
          <w:rFonts w:cstheme="minorHAnsi"/>
        </w:rPr>
        <w:t xml:space="preserve">has </w:t>
      </w:r>
      <w:r w:rsidRPr="00E6522E">
        <w:rPr>
          <w:rFonts w:cstheme="minorHAnsi"/>
          <w:lang w:val="ka-GE"/>
        </w:rPr>
        <w:t xml:space="preserve">also adjusted. Given the </w:t>
      </w:r>
      <w:r w:rsidRPr="00E6522E">
        <w:rPr>
          <w:rFonts w:cstheme="minorHAnsi"/>
        </w:rPr>
        <w:t xml:space="preserve">current </w:t>
      </w:r>
      <w:r w:rsidRPr="00E6522E">
        <w:rPr>
          <w:rFonts w:cstheme="minorHAnsi"/>
          <w:lang w:val="ka-GE"/>
        </w:rPr>
        <w:t>and 2018</w:t>
      </w:r>
      <w:r w:rsidRPr="00E6522E">
        <w:rPr>
          <w:rFonts w:cstheme="minorHAnsi"/>
        </w:rPr>
        <w:t xml:space="preserve"> trends, </w:t>
      </w:r>
      <w:r w:rsidRPr="00E6522E">
        <w:rPr>
          <w:rFonts w:cstheme="minorHAnsi"/>
          <w:lang w:val="ka-GE"/>
        </w:rPr>
        <w:t xml:space="preserve">it is likely that the broad money forecast for 2019 will exceed its </w:t>
      </w:r>
      <w:r w:rsidRPr="00E6522E">
        <w:rPr>
          <w:rFonts w:cstheme="minorHAnsi"/>
        </w:rPr>
        <w:t>initial</w:t>
      </w:r>
      <w:r w:rsidRPr="00E6522E">
        <w:rPr>
          <w:rFonts w:cstheme="minorHAnsi"/>
          <w:lang w:val="ka-GE"/>
        </w:rPr>
        <w:t xml:space="preserve"> </w:t>
      </w:r>
      <w:r w:rsidR="00F57F5E">
        <w:rPr>
          <w:rFonts w:cstheme="minorHAnsi"/>
        </w:rPr>
        <w:t>forecast</w:t>
      </w:r>
      <w:r w:rsidRPr="00E6522E">
        <w:rPr>
          <w:rFonts w:cstheme="minorHAnsi"/>
          <w:lang w:val="ka-GE"/>
        </w:rPr>
        <w:t>. There are also changes in the composition of the</w:t>
      </w:r>
      <w:r w:rsidRPr="00E6522E">
        <w:rPr>
          <w:rFonts w:cstheme="minorHAnsi"/>
        </w:rPr>
        <w:t xml:space="preserve"> banking sector</w:t>
      </w:r>
      <w:r w:rsidRPr="00E6522E">
        <w:rPr>
          <w:rFonts w:cstheme="minorHAnsi"/>
          <w:lang w:val="ka-GE"/>
        </w:rPr>
        <w:t xml:space="preserve"> assets</w:t>
      </w:r>
      <w:r w:rsidRPr="00E6522E">
        <w:rPr>
          <w:rFonts w:cstheme="minorHAnsi"/>
        </w:rPr>
        <w:t>.</w:t>
      </w:r>
      <w:r w:rsidRPr="00E6522E">
        <w:rPr>
          <w:rFonts w:cstheme="minorHAnsi"/>
          <w:lang w:val="ka-GE"/>
        </w:rPr>
        <w:t xml:space="preserve"> Given the broad money forecast, achieving the inflation target will require managing domestic assets, which can only be done </w:t>
      </w:r>
      <w:r w:rsidR="00F57F5E">
        <w:rPr>
          <w:rFonts w:cstheme="minorHAnsi"/>
        </w:rPr>
        <w:t xml:space="preserve">by </w:t>
      </w:r>
      <w:r w:rsidRPr="00E6522E">
        <w:rPr>
          <w:rFonts w:cstheme="minorHAnsi"/>
        </w:rPr>
        <w:t>adjust</w:t>
      </w:r>
      <w:r w:rsidR="00F57F5E">
        <w:rPr>
          <w:rFonts w:cstheme="minorHAnsi"/>
        </w:rPr>
        <w:t>ing</w:t>
      </w:r>
      <w:r w:rsidRPr="00E6522E">
        <w:rPr>
          <w:rFonts w:cstheme="minorHAnsi"/>
        </w:rPr>
        <w:t xml:space="preserve"> </w:t>
      </w:r>
      <w:r w:rsidR="00F57F5E">
        <w:rPr>
          <w:rFonts w:cstheme="minorHAnsi"/>
        </w:rPr>
        <w:t xml:space="preserve">the claims on </w:t>
      </w:r>
      <w:r w:rsidRPr="00E6522E">
        <w:rPr>
          <w:rFonts w:cstheme="minorHAnsi"/>
          <w:lang w:val="ka-GE"/>
        </w:rPr>
        <w:t xml:space="preserve">the rest of the economy. </w:t>
      </w:r>
      <w:r w:rsidRPr="00E6522E">
        <w:rPr>
          <w:rFonts w:cstheme="minorHAnsi"/>
        </w:rPr>
        <w:t xml:space="preserve">However, </w:t>
      </w:r>
      <w:r w:rsidRPr="00E6522E">
        <w:rPr>
          <w:rFonts w:cstheme="minorHAnsi"/>
          <w:lang w:val="ka-GE"/>
        </w:rPr>
        <w:t xml:space="preserve">under the updated forecast, </w:t>
      </w:r>
      <w:r w:rsidR="00F57F5E">
        <w:rPr>
          <w:rFonts w:cstheme="minorHAnsi"/>
        </w:rPr>
        <w:t>an</w:t>
      </w:r>
      <w:r w:rsidRPr="00E6522E">
        <w:rPr>
          <w:rFonts w:cstheme="minorHAnsi"/>
          <w:lang w:val="ka-GE"/>
        </w:rPr>
        <w:t xml:space="preserve"> adjustment of</w:t>
      </w:r>
      <w:r w:rsidR="00F57F5E">
        <w:rPr>
          <w:rFonts w:cstheme="minorHAnsi"/>
        </w:rPr>
        <w:t xml:space="preserve"> the claims on </w:t>
      </w:r>
      <w:r w:rsidRPr="00E6522E">
        <w:rPr>
          <w:rFonts w:cstheme="minorHAnsi"/>
          <w:lang w:val="ka-GE"/>
        </w:rPr>
        <w:t>private sector</w:t>
      </w:r>
      <w:r w:rsidRPr="00E6522E">
        <w:rPr>
          <w:rFonts w:cstheme="minorHAnsi"/>
        </w:rPr>
        <w:t xml:space="preserve"> </w:t>
      </w:r>
      <w:r w:rsidRPr="00E6522E">
        <w:rPr>
          <w:rFonts w:cstheme="minorHAnsi"/>
          <w:lang w:val="ka-GE"/>
        </w:rPr>
        <w:t xml:space="preserve">will not repress the private sector from the credit market and the banking sector will be able to lend to the private sector in order to provide it with the </w:t>
      </w:r>
      <w:r w:rsidRPr="00E6522E">
        <w:rPr>
          <w:rFonts w:cstheme="minorHAnsi"/>
        </w:rPr>
        <w:t xml:space="preserve">enough </w:t>
      </w:r>
      <w:r w:rsidRPr="00E6522E">
        <w:rPr>
          <w:rFonts w:cstheme="minorHAnsi"/>
          <w:lang w:val="ka-GE"/>
        </w:rPr>
        <w:t>financial resources</w:t>
      </w:r>
      <w:r w:rsidR="00F57F5E">
        <w:rPr>
          <w:rFonts w:cstheme="minorHAnsi"/>
        </w:rPr>
        <w:t>,</w:t>
      </w:r>
      <w:r w:rsidRPr="00E6522E">
        <w:rPr>
          <w:rFonts w:cstheme="minorHAnsi"/>
          <w:lang w:val="ka-GE"/>
        </w:rPr>
        <w:t xml:space="preserve"> needed for economic development.</w:t>
      </w:r>
    </w:p>
    <w:p w:rsidR="004061D7" w:rsidRPr="00E6522E" w:rsidRDefault="004061D7" w:rsidP="00A21683">
      <w:pPr>
        <w:pStyle w:val="NoSpacing"/>
        <w:jc w:val="both"/>
        <w:rPr>
          <w:rFonts w:cstheme="minorHAnsi"/>
          <w:lang w:val="ka-GE"/>
        </w:rPr>
      </w:pPr>
    </w:p>
    <w:tbl>
      <w:tblPr>
        <w:tblW w:w="5136" w:type="pct"/>
        <w:tblInd w:w="-5" w:type="dxa"/>
        <w:tblLook w:val="04A0" w:firstRow="1" w:lastRow="0" w:firstColumn="1" w:lastColumn="0" w:noHBand="0" w:noVBand="1"/>
      </w:tblPr>
      <w:tblGrid>
        <w:gridCol w:w="4863"/>
        <w:gridCol w:w="1001"/>
        <w:gridCol w:w="1001"/>
        <w:gridCol w:w="1001"/>
        <w:gridCol w:w="1001"/>
        <w:gridCol w:w="1001"/>
      </w:tblGrid>
      <w:tr w:rsidR="00A21683" w:rsidRPr="00E6522E" w:rsidTr="00993A61">
        <w:trPr>
          <w:trHeight w:val="288"/>
          <w:tblHeader/>
        </w:trPr>
        <w:tc>
          <w:tcPr>
            <w:tcW w:w="2464" w:type="pct"/>
            <w:tcBorders>
              <w:top w:val="single" w:sz="4" w:space="0" w:color="auto"/>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lang w:val="ka-GE"/>
              </w:rPr>
            </w:pPr>
            <w:r w:rsidRPr="00E6522E">
              <w:rPr>
                <w:rFonts w:eastAsia="Times New Roman" w:cstheme="minorHAnsi"/>
                <w:b/>
                <w:color w:val="000000"/>
                <w:sz w:val="20"/>
                <w:szCs w:val="20"/>
              </w:rPr>
              <w:t>Table 6. Review of Depositary Corporations</w:t>
            </w:r>
          </w:p>
        </w:tc>
        <w:tc>
          <w:tcPr>
            <w:tcW w:w="507" w:type="pct"/>
            <w:tcBorders>
              <w:top w:val="single" w:sz="4" w:space="0" w:color="auto"/>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p>
        </w:tc>
        <w:tc>
          <w:tcPr>
            <w:tcW w:w="507" w:type="pct"/>
            <w:tcBorders>
              <w:top w:val="single" w:sz="4" w:space="0" w:color="auto"/>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p>
        </w:tc>
        <w:tc>
          <w:tcPr>
            <w:tcW w:w="507" w:type="pct"/>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p>
        </w:tc>
        <w:tc>
          <w:tcPr>
            <w:tcW w:w="507" w:type="pct"/>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p>
        </w:tc>
        <w:tc>
          <w:tcPr>
            <w:tcW w:w="507" w:type="pct"/>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p>
        </w:tc>
      </w:tr>
      <w:tr w:rsidR="00A21683" w:rsidRPr="00E6522E" w:rsidTr="00993A61">
        <w:trPr>
          <w:trHeight w:val="288"/>
          <w:tblHeader/>
        </w:trPr>
        <w:tc>
          <w:tcPr>
            <w:tcW w:w="2464" w:type="pct"/>
            <w:tcBorders>
              <w:top w:val="nil"/>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color w:val="000000"/>
              </w:rPr>
            </w:pPr>
            <w:r w:rsidRPr="00E6522E">
              <w:rPr>
                <w:rFonts w:eastAsia="Times New Roman" w:cstheme="minorHAnsi"/>
                <w:color w:val="000000"/>
                <w:sz w:val="18"/>
                <w:szCs w:val="20"/>
              </w:rPr>
              <w:t>(M</w:t>
            </w:r>
            <w:r w:rsidR="004061D7" w:rsidRPr="00E6522E">
              <w:rPr>
                <w:rFonts w:eastAsia="Times New Roman" w:cstheme="minorHAnsi"/>
                <w:color w:val="000000"/>
                <w:sz w:val="18"/>
                <w:szCs w:val="20"/>
              </w:rPr>
              <w:t>il</w:t>
            </w:r>
            <w:r w:rsidRPr="00E6522E">
              <w:rPr>
                <w:rFonts w:eastAsia="Times New Roman" w:cstheme="minorHAnsi"/>
                <w:color w:val="000000"/>
                <w:sz w:val="18"/>
                <w:szCs w:val="20"/>
              </w:rPr>
              <w:t>l</w:t>
            </w:r>
            <w:r w:rsidR="004061D7" w:rsidRPr="00E6522E">
              <w:rPr>
                <w:rFonts w:eastAsia="Times New Roman" w:cstheme="minorHAnsi"/>
                <w:color w:val="000000"/>
                <w:sz w:val="18"/>
                <w:szCs w:val="20"/>
              </w:rPr>
              <w:t>io</w:t>
            </w:r>
            <w:r w:rsidRPr="00E6522E">
              <w:rPr>
                <w:rFonts w:eastAsia="Times New Roman" w:cstheme="minorHAnsi"/>
                <w:color w:val="000000"/>
                <w:sz w:val="18"/>
                <w:szCs w:val="20"/>
              </w:rPr>
              <w:t>n GEL)</w:t>
            </w:r>
          </w:p>
        </w:tc>
        <w:tc>
          <w:tcPr>
            <w:tcW w:w="507" w:type="pct"/>
            <w:tcBorders>
              <w:top w:val="nil"/>
              <w:left w:val="nil"/>
              <w:bottom w:val="single" w:sz="4"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color w:val="000000"/>
                <w:sz w:val="20"/>
                <w:szCs w:val="20"/>
              </w:rPr>
            </w:pPr>
            <w:r w:rsidRPr="00E6522E">
              <w:rPr>
                <w:rFonts w:eastAsia="Times New Roman" w:cstheme="minorHAnsi"/>
                <w:b/>
                <w:color w:val="000000"/>
                <w:sz w:val="20"/>
                <w:szCs w:val="20"/>
              </w:rPr>
              <w:t>2018</w:t>
            </w:r>
          </w:p>
        </w:tc>
        <w:tc>
          <w:tcPr>
            <w:tcW w:w="507" w:type="pct"/>
            <w:tcBorders>
              <w:top w:val="nil"/>
              <w:left w:val="double" w:sz="6" w:space="0" w:color="auto"/>
              <w:bottom w:val="single" w:sz="4"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color w:val="000000"/>
                <w:sz w:val="20"/>
                <w:szCs w:val="20"/>
              </w:rPr>
            </w:pPr>
            <w:r w:rsidRPr="00E6522E">
              <w:rPr>
                <w:rFonts w:eastAsia="Times New Roman" w:cstheme="minorHAnsi"/>
                <w:b/>
                <w:color w:val="000000"/>
                <w:sz w:val="20"/>
                <w:szCs w:val="20"/>
              </w:rPr>
              <w:t>2019</w:t>
            </w:r>
          </w:p>
        </w:tc>
        <w:tc>
          <w:tcPr>
            <w:tcW w:w="50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color w:val="000000"/>
                <w:sz w:val="20"/>
                <w:szCs w:val="20"/>
              </w:rPr>
            </w:pPr>
            <w:r w:rsidRPr="00E6522E">
              <w:rPr>
                <w:rFonts w:eastAsia="Times New Roman" w:cstheme="minorHAnsi"/>
                <w:b/>
                <w:color w:val="000000"/>
                <w:sz w:val="20"/>
                <w:szCs w:val="20"/>
              </w:rPr>
              <w:t>2020</w:t>
            </w:r>
          </w:p>
        </w:tc>
        <w:tc>
          <w:tcPr>
            <w:tcW w:w="50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color w:val="000000"/>
                <w:sz w:val="20"/>
                <w:szCs w:val="20"/>
              </w:rPr>
            </w:pPr>
            <w:r w:rsidRPr="00E6522E">
              <w:rPr>
                <w:rFonts w:eastAsia="Times New Roman" w:cstheme="minorHAnsi"/>
                <w:b/>
                <w:color w:val="000000"/>
                <w:sz w:val="20"/>
                <w:szCs w:val="20"/>
              </w:rPr>
              <w:t>2021</w:t>
            </w:r>
          </w:p>
        </w:tc>
        <w:tc>
          <w:tcPr>
            <w:tcW w:w="50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color w:val="000000"/>
                <w:sz w:val="20"/>
                <w:szCs w:val="20"/>
              </w:rPr>
            </w:pPr>
            <w:r w:rsidRPr="00E6522E">
              <w:rPr>
                <w:rFonts w:eastAsia="Times New Roman" w:cstheme="minorHAnsi"/>
                <w:b/>
                <w:color w:val="000000"/>
                <w:sz w:val="20"/>
                <w:szCs w:val="20"/>
              </w:rPr>
              <w:t>2022</w:t>
            </w:r>
          </w:p>
        </w:tc>
      </w:tr>
      <w:tr w:rsidR="00A21683" w:rsidRPr="00E6522E" w:rsidTr="00993A61">
        <w:trPr>
          <w:trHeight w:val="288"/>
          <w:tblHeader/>
        </w:trPr>
        <w:tc>
          <w:tcPr>
            <w:tcW w:w="2464" w:type="pct"/>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sz w:val="18"/>
                <w:szCs w:val="20"/>
              </w:rPr>
            </w:pPr>
            <w:r w:rsidRPr="00E6522E">
              <w:rPr>
                <w:rFonts w:eastAsia="Times New Roman" w:cstheme="minorHAnsi"/>
                <w:b/>
                <w:bCs/>
                <w:color w:val="000000"/>
                <w:sz w:val="18"/>
                <w:szCs w:val="20"/>
              </w:rPr>
              <w:t> </w:t>
            </w:r>
          </w:p>
        </w:tc>
        <w:tc>
          <w:tcPr>
            <w:tcW w:w="507"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color w:val="000000"/>
                <w:sz w:val="20"/>
                <w:szCs w:val="20"/>
              </w:rPr>
            </w:pPr>
            <w:r w:rsidRPr="00E6522E">
              <w:rPr>
                <w:rFonts w:eastAsia="Times New Roman" w:cstheme="minorHAnsi"/>
                <w:b/>
                <w:color w:val="000000"/>
                <w:sz w:val="20"/>
                <w:szCs w:val="20"/>
              </w:rPr>
              <w:t>Actual</w:t>
            </w:r>
          </w:p>
        </w:tc>
        <w:tc>
          <w:tcPr>
            <w:tcW w:w="507"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4061D7">
            <w:pPr>
              <w:spacing w:after="0" w:line="240" w:lineRule="auto"/>
              <w:jc w:val="right"/>
              <w:rPr>
                <w:rFonts w:eastAsia="Times New Roman" w:cstheme="minorHAnsi"/>
                <w:b/>
                <w:color w:val="000000"/>
                <w:sz w:val="20"/>
                <w:szCs w:val="20"/>
              </w:rPr>
            </w:pPr>
            <w:r w:rsidRPr="00E6522E">
              <w:rPr>
                <w:rFonts w:eastAsia="Times New Roman" w:cstheme="minorHAnsi"/>
                <w:b/>
                <w:color w:val="000000"/>
                <w:sz w:val="20"/>
                <w:szCs w:val="20"/>
              </w:rPr>
              <w:t>Expect</w:t>
            </w:r>
            <w:r w:rsidR="004061D7" w:rsidRPr="00E6522E">
              <w:rPr>
                <w:rFonts w:eastAsia="Times New Roman" w:cstheme="minorHAnsi"/>
                <w:b/>
                <w:color w:val="000000"/>
                <w:sz w:val="20"/>
                <w:szCs w:val="20"/>
              </w:rPr>
              <w:t>ed</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4061D7">
            <w:pPr>
              <w:spacing w:after="0" w:line="240" w:lineRule="auto"/>
              <w:jc w:val="right"/>
              <w:rPr>
                <w:rFonts w:eastAsia="Times New Roman" w:cstheme="minorHAnsi"/>
                <w:b/>
                <w:color w:val="000000"/>
                <w:sz w:val="20"/>
                <w:szCs w:val="20"/>
              </w:rPr>
            </w:pPr>
            <w:r w:rsidRPr="00E6522E">
              <w:rPr>
                <w:rFonts w:eastAsia="Times New Roman" w:cstheme="minorHAnsi"/>
                <w:b/>
                <w:color w:val="000000"/>
                <w:sz w:val="20"/>
                <w:szCs w:val="20"/>
              </w:rPr>
              <w:t>Forec</w:t>
            </w:r>
            <w:r w:rsidR="004061D7" w:rsidRPr="00E6522E">
              <w:rPr>
                <w:rFonts w:eastAsia="Times New Roman" w:cstheme="minorHAnsi"/>
                <w:b/>
                <w:color w:val="000000"/>
                <w:sz w:val="20"/>
                <w:szCs w:val="20"/>
              </w:rPr>
              <w:t>ast</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4061D7">
            <w:pPr>
              <w:spacing w:after="0" w:line="240" w:lineRule="auto"/>
              <w:jc w:val="right"/>
              <w:rPr>
                <w:rFonts w:eastAsia="Times New Roman" w:cstheme="minorHAnsi"/>
                <w:b/>
                <w:color w:val="000000"/>
                <w:sz w:val="20"/>
                <w:szCs w:val="20"/>
              </w:rPr>
            </w:pPr>
            <w:r w:rsidRPr="00E6522E">
              <w:rPr>
                <w:rFonts w:eastAsia="Times New Roman" w:cstheme="minorHAnsi"/>
                <w:b/>
                <w:color w:val="000000"/>
                <w:sz w:val="20"/>
                <w:szCs w:val="20"/>
              </w:rPr>
              <w:t>Forec</w:t>
            </w:r>
            <w:r w:rsidR="004061D7" w:rsidRPr="00E6522E">
              <w:rPr>
                <w:rFonts w:eastAsia="Times New Roman" w:cstheme="minorHAnsi"/>
                <w:b/>
                <w:color w:val="000000"/>
                <w:sz w:val="20"/>
                <w:szCs w:val="20"/>
              </w:rPr>
              <w:t>ast</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4061D7">
            <w:pPr>
              <w:spacing w:after="0" w:line="240" w:lineRule="auto"/>
              <w:jc w:val="right"/>
              <w:rPr>
                <w:rFonts w:eastAsia="Times New Roman" w:cstheme="minorHAnsi"/>
                <w:b/>
                <w:color w:val="000000"/>
                <w:sz w:val="20"/>
                <w:szCs w:val="20"/>
              </w:rPr>
            </w:pPr>
            <w:r w:rsidRPr="00E6522E">
              <w:rPr>
                <w:rFonts w:eastAsia="Times New Roman" w:cstheme="minorHAnsi"/>
                <w:b/>
                <w:color w:val="000000"/>
                <w:sz w:val="20"/>
                <w:szCs w:val="20"/>
              </w:rPr>
              <w:t>Forec</w:t>
            </w:r>
            <w:r w:rsidR="004061D7" w:rsidRPr="00E6522E">
              <w:rPr>
                <w:rFonts w:eastAsia="Times New Roman" w:cstheme="minorHAnsi"/>
                <w:b/>
                <w:color w:val="000000"/>
                <w:sz w:val="20"/>
                <w:szCs w:val="20"/>
              </w:rPr>
              <w:t>ast</w:t>
            </w:r>
          </w:p>
        </w:tc>
      </w:tr>
      <w:tr w:rsidR="00A21683" w:rsidRPr="00E6522E" w:rsidTr="00A21683">
        <w:trPr>
          <w:trHeight w:val="113"/>
        </w:trPr>
        <w:tc>
          <w:tcPr>
            <w:tcW w:w="2464" w:type="pct"/>
            <w:tcBorders>
              <w:top w:val="single" w:sz="4" w:space="0" w:color="auto"/>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rPr>
            </w:pPr>
            <w:r w:rsidRPr="00E6522E">
              <w:rPr>
                <w:rFonts w:eastAsia="Times New Roman" w:cstheme="minorHAnsi"/>
                <w:b/>
                <w:bCs/>
                <w:color w:val="000000"/>
                <w:sz w:val="18"/>
                <w:szCs w:val="20"/>
              </w:rPr>
              <w:t>Previous Forecast of Broad Money M3</w:t>
            </w:r>
          </w:p>
        </w:tc>
        <w:tc>
          <w:tcPr>
            <w:tcW w:w="507" w:type="pct"/>
            <w:tcBorders>
              <w:top w:val="single" w:sz="4" w:space="0" w:color="auto"/>
              <w:left w:val="nil"/>
              <w:bottom w:val="nil"/>
              <w:right w:val="nil"/>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rPr>
            </w:pPr>
            <w:r w:rsidRPr="00E6522E">
              <w:rPr>
                <w:rFonts w:eastAsia="Times New Roman" w:cstheme="minorHAnsi"/>
                <w:color w:val="000000"/>
                <w:sz w:val="18"/>
                <w:szCs w:val="20"/>
              </w:rPr>
              <w:t>21,864</w:t>
            </w:r>
            <w:r w:rsidRPr="00E6522E">
              <w:rPr>
                <w:rFonts w:eastAsia="Times New Roman" w:cstheme="minorHAnsi"/>
                <w:color w:val="000000"/>
                <w:sz w:val="18"/>
                <w:szCs w:val="20"/>
                <w:lang w:val="ka-GE"/>
              </w:rPr>
              <w:t>.5</w:t>
            </w:r>
          </w:p>
        </w:tc>
        <w:tc>
          <w:tcPr>
            <w:tcW w:w="507" w:type="pct"/>
            <w:tcBorders>
              <w:top w:val="single" w:sz="4" w:space="0" w:color="auto"/>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rPr>
            </w:pPr>
            <w:r w:rsidRPr="00E6522E">
              <w:rPr>
                <w:rFonts w:eastAsia="Times New Roman" w:cstheme="minorHAnsi"/>
                <w:color w:val="000000"/>
                <w:sz w:val="18"/>
                <w:szCs w:val="20"/>
              </w:rPr>
              <w:t>24,733</w:t>
            </w:r>
            <w:r w:rsidRPr="00E6522E">
              <w:rPr>
                <w:rFonts w:eastAsia="Times New Roman" w:cstheme="minorHAnsi"/>
                <w:color w:val="000000"/>
                <w:sz w:val="18"/>
                <w:szCs w:val="20"/>
                <w:lang w:val="ka-GE"/>
              </w:rPr>
              <w:t>.6</w:t>
            </w:r>
          </w:p>
        </w:tc>
        <w:tc>
          <w:tcPr>
            <w:tcW w:w="507" w:type="pct"/>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rPr>
            </w:pPr>
            <w:r w:rsidRPr="00E6522E">
              <w:rPr>
                <w:rFonts w:eastAsia="Times New Roman" w:cstheme="minorHAnsi"/>
                <w:color w:val="000000"/>
                <w:sz w:val="18"/>
                <w:szCs w:val="20"/>
              </w:rPr>
              <w:t>28,171</w:t>
            </w:r>
            <w:r w:rsidRPr="00E6522E">
              <w:rPr>
                <w:rFonts w:eastAsia="Times New Roman" w:cstheme="minorHAnsi"/>
                <w:color w:val="000000"/>
                <w:sz w:val="18"/>
                <w:szCs w:val="20"/>
                <w:lang w:val="ka-GE"/>
              </w:rPr>
              <w:t>.6</w:t>
            </w:r>
          </w:p>
        </w:tc>
        <w:tc>
          <w:tcPr>
            <w:tcW w:w="507" w:type="pct"/>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rPr>
            </w:pPr>
            <w:r w:rsidRPr="00E6522E">
              <w:rPr>
                <w:rFonts w:eastAsia="Times New Roman" w:cstheme="minorHAnsi"/>
                <w:color w:val="000000"/>
                <w:sz w:val="18"/>
                <w:szCs w:val="20"/>
              </w:rPr>
              <w:t>32,477</w:t>
            </w:r>
            <w:r w:rsidRPr="00E6522E">
              <w:rPr>
                <w:rFonts w:eastAsia="Times New Roman" w:cstheme="minorHAnsi"/>
                <w:color w:val="000000"/>
                <w:sz w:val="18"/>
                <w:szCs w:val="20"/>
                <w:lang w:val="ka-GE"/>
              </w:rPr>
              <w:t>.3</w:t>
            </w:r>
          </w:p>
        </w:tc>
        <w:tc>
          <w:tcPr>
            <w:tcW w:w="507" w:type="pct"/>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rPr>
            </w:pPr>
            <w:r w:rsidRPr="00E6522E">
              <w:rPr>
                <w:rFonts w:eastAsia="Times New Roman" w:cstheme="minorHAnsi"/>
                <w:color w:val="000000"/>
                <w:sz w:val="18"/>
                <w:szCs w:val="20"/>
              </w:rPr>
              <w:t>37,893</w:t>
            </w:r>
            <w:r w:rsidRPr="00E6522E">
              <w:rPr>
                <w:rFonts w:eastAsia="Times New Roman" w:cstheme="minorHAnsi"/>
                <w:color w:val="000000"/>
                <w:sz w:val="18"/>
                <w:szCs w:val="20"/>
                <w:lang w:val="ka-GE"/>
              </w:rPr>
              <w:t>.8</w:t>
            </w:r>
          </w:p>
        </w:tc>
      </w:tr>
      <w:tr w:rsidR="00A21683" w:rsidRPr="00E6522E" w:rsidTr="00A21683">
        <w:trPr>
          <w:trHeight w:val="113"/>
        </w:trPr>
        <w:tc>
          <w:tcPr>
            <w:tcW w:w="2464" w:type="pct"/>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color w:val="000000"/>
                <w:sz w:val="18"/>
                <w:szCs w:val="20"/>
              </w:rPr>
            </w:pPr>
            <w:r w:rsidRPr="00E6522E">
              <w:rPr>
                <w:rFonts w:eastAsia="Times New Roman" w:cstheme="minorHAnsi"/>
                <w:color w:val="000000"/>
                <w:sz w:val="18"/>
                <w:szCs w:val="20"/>
              </w:rPr>
              <w:t>Changes</w:t>
            </w:r>
          </w:p>
        </w:tc>
        <w:tc>
          <w:tcPr>
            <w:tcW w:w="507"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 </w:t>
            </w:r>
          </w:p>
        </w:tc>
        <w:tc>
          <w:tcPr>
            <w:tcW w:w="507"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 </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 </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 </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 </w:t>
            </w:r>
          </w:p>
        </w:tc>
      </w:tr>
      <w:tr w:rsidR="00A21683" w:rsidRPr="00E6522E" w:rsidTr="00A21683">
        <w:trPr>
          <w:trHeight w:val="113"/>
        </w:trPr>
        <w:tc>
          <w:tcPr>
            <w:tcW w:w="2464" w:type="pct"/>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180"/>
              <w:rPr>
                <w:rFonts w:eastAsia="Times New Roman" w:cstheme="minorHAnsi"/>
                <w:color w:val="000000"/>
              </w:rPr>
            </w:pPr>
            <w:r w:rsidRPr="00E6522E">
              <w:rPr>
                <w:rFonts w:eastAsia="Times New Roman" w:cstheme="minorHAnsi"/>
                <w:color w:val="000000"/>
                <w:sz w:val="18"/>
                <w:szCs w:val="20"/>
              </w:rPr>
              <w:t>Net Foreign Assets</w:t>
            </w:r>
          </w:p>
        </w:tc>
        <w:tc>
          <w:tcPr>
            <w:tcW w:w="507"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-2,244.7</w:t>
            </w:r>
          </w:p>
        </w:tc>
        <w:tc>
          <w:tcPr>
            <w:tcW w:w="507"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-3,544.7</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-3,886.4</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-3,777.3</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-3,617.3</w:t>
            </w:r>
          </w:p>
        </w:tc>
      </w:tr>
      <w:tr w:rsidR="00A21683" w:rsidRPr="00E6522E" w:rsidTr="00A21683">
        <w:trPr>
          <w:trHeight w:val="113"/>
        </w:trPr>
        <w:tc>
          <w:tcPr>
            <w:tcW w:w="2464" w:type="pct"/>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180"/>
              <w:rPr>
                <w:rFonts w:eastAsia="Times New Roman" w:cstheme="minorHAnsi"/>
                <w:color w:val="000000"/>
                <w:sz w:val="18"/>
                <w:szCs w:val="20"/>
              </w:rPr>
            </w:pPr>
            <w:r w:rsidRPr="00E6522E">
              <w:rPr>
                <w:rFonts w:eastAsia="Times New Roman" w:cstheme="minorHAnsi"/>
                <w:color w:val="000000"/>
                <w:sz w:val="18"/>
                <w:szCs w:val="20"/>
              </w:rPr>
              <w:t>Foreign Assets</w:t>
            </w:r>
          </w:p>
        </w:tc>
        <w:tc>
          <w:tcPr>
            <w:tcW w:w="507"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-927.9</w:t>
            </w:r>
          </w:p>
        </w:tc>
        <w:tc>
          <w:tcPr>
            <w:tcW w:w="507"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226.4</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765.5</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1,023.3</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1,138.6</w:t>
            </w:r>
          </w:p>
        </w:tc>
      </w:tr>
      <w:tr w:rsidR="00A21683" w:rsidRPr="00E6522E" w:rsidTr="00A21683">
        <w:trPr>
          <w:trHeight w:val="113"/>
        </w:trPr>
        <w:tc>
          <w:tcPr>
            <w:tcW w:w="2464" w:type="pct"/>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color w:val="000000"/>
              </w:rPr>
            </w:pPr>
            <w:r w:rsidRPr="00E6522E">
              <w:rPr>
                <w:rFonts w:eastAsia="Times New Roman" w:cstheme="minorHAnsi"/>
                <w:color w:val="000000"/>
                <w:sz w:val="18"/>
                <w:szCs w:val="20"/>
              </w:rPr>
              <w:t>Foreign Liabilities</w:t>
            </w:r>
          </w:p>
        </w:tc>
        <w:tc>
          <w:tcPr>
            <w:tcW w:w="507"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1,316.8</w:t>
            </w:r>
          </w:p>
        </w:tc>
        <w:tc>
          <w:tcPr>
            <w:tcW w:w="507"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3,771.1</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4,651.9</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4,800.6</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4,755.9</w:t>
            </w:r>
          </w:p>
        </w:tc>
      </w:tr>
      <w:tr w:rsidR="00A21683" w:rsidRPr="00E6522E" w:rsidTr="00A21683">
        <w:trPr>
          <w:trHeight w:val="113"/>
        </w:trPr>
        <w:tc>
          <w:tcPr>
            <w:tcW w:w="2464" w:type="pct"/>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180"/>
              <w:rPr>
                <w:rFonts w:eastAsia="Times New Roman" w:cstheme="minorHAnsi"/>
                <w:color w:val="000000"/>
                <w:sz w:val="18"/>
                <w:szCs w:val="20"/>
              </w:rPr>
            </w:pPr>
            <w:r w:rsidRPr="00E6522E">
              <w:rPr>
                <w:rFonts w:eastAsia="Times New Roman" w:cstheme="minorHAnsi"/>
                <w:color w:val="000000"/>
                <w:sz w:val="18"/>
                <w:szCs w:val="20"/>
              </w:rPr>
              <w:t>Domestic Assets</w:t>
            </w:r>
          </w:p>
        </w:tc>
        <w:tc>
          <w:tcPr>
            <w:tcW w:w="507"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1,504.9</w:t>
            </w:r>
          </w:p>
        </w:tc>
        <w:tc>
          <w:tcPr>
            <w:tcW w:w="507"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4,577.3</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5,178.5</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4,818.3</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3,854.3</w:t>
            </w:r>
          </w:p>
        </w:tc>
      </w:tr>
      <w:tr w:rsidR="00A21683" w:rsidRPr="00E6522E" w:rsidTr="00A21683">
        <w:trPr>
          <w:trHeight w:val="113"/>
        </w:trPr>
        <w:tc>
          <w:tcPr>
            <w:tcW w:w="2464" w:type="pct"/>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180"/>
              <w:rPr>
                <w:rFonts w:eastAsia="Times New Roman" w:cstheme="minorHAnsi"/>
                <w:color w:val="000000"/>
                <w:sz w:val="18"/>
                <w:szCs w:val="20"/>
              </w:rPr>
            </w:pPr>
            <w:r w:rsidRPr="00E6522E">
              <w:rPr>
                <w:rFonts w:eastAsia="Times New Roman" w:cstheme="minorHAnsi"/>
                <w:color w:val="000000"/>
                <w:sz w:val="18"/>
                <w:szCs w:val="20"/>
              </w:rPr>
              <w:t>Government Net Debt</w:t>
            </w:r>
          </w:p>
        </w:tc>
        <w:tc>
          <w:tcPr>
            <w:tcW w:w="507"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432.0</w:t>
            </w:r>
          </w:p>
        </w:tc>
        <w:tc>
          <w:tcPr>
            <w:tcW w:w="507"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419.0</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51.0</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-190.0</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-413.0</w:t>
            </w:r>
          </w:p>
        </w:tc>
      </w:tr>
      <w:tr w:rsidR="00A21683" w:rsidRPr="00E6522E" w:rsidTr="00A21683">
        <w:trPr>
          <w:trHeight w:val="113"/>
        </w:trPr>
        <w:tc>
          <w:tcPr>
            <w:tcW w:w="2464" w:type="pct"/>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180"/>
              <w:rPr>
                <w:rFonts w:eastAsia="Times New Roman" w:cstheme="minorHAnsi"/>
                <w:color w:val="000000"/>
              </w:rPr>
            </w:pPr>
            <w:r w:rsidRPr="00E6522E">
              <w:rPr>
                <w:rFonts w:eastAsia="Times New Roman" w:cstheme="minorHAnsi"/>
                <w:color w:val="000000"/>
                <w:sz w:val="18"/>
                <w:szCs w:val="20"/>
              </w:rPr>
              <w:t>Other Economic Sectors Debt</w:t>
            </w:r>
          </w:p>
        </w:tc>
        <w:tc>
          <w:tcPr>
            <w:tcW w:w="507"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1,194.4</w:t>
            </w:r>
          </w:p>
        </w:tc>
        <w:tc>
          <w:tcPr>
            <w:tcW w:w="507"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4,828.5</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6,355.3</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6,837.4</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6,742.9</w:t>
            </w:r>
          </w:p>
        </w:tc>
      </w:tr>
      <w:tr w:rsidR="00A21683" w:rsidRPr="00E6522E" w:rsidTr="00A21683">
        <w:trPr>
          <w:trHeight w:val="113"/>
        </w:trPr>
        <w:tc>
          <w:tcPr>
            <w:tcW w:w="2464" w:type="pct"/>
            <w:tcBorders>
              <w:top w:val="nil"/>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color w:val="000000"/>
              </w:rPr>
            </w:pPr>
            <w:r w:rsidRPr="00E6522E">
              <w:rPr>
                <w:rFonts w:eastAsia="Times New Roman" w:cstheme="minorHAnsi"/>
                <w:b/>
                <w:bCs/>
                <w:color w:val="000000"/>
                <w:sz w:val="18"/>
                <w:szCs w:val="20"/>
              </w:rPr>
              <w:t>Other Components Net</w:t>
            </w:r>
          </w:p>
        </w:tc>
        <w:tc>
          <w:tcPr>
            <w:tcW w:w="507" w:type="pct"/>
            <w:tcBorders>
              <w:top w:val="nil"/>
              <w:left w:val="nil"/>
              <w:bottom w:val="single" w:sz="4"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-121.5</w:t>
            </w:r>
          </w:p>
        </w:tc>
        <w:tc>
          <w:tcPr>
            <w:tcW w:w="507" w:type="pct"/>
            <w:tcBorders>
              <w:top w:val="nil"/>
              <w:left w:val="double" w:sz="6" w:space="0" w:color="auto"/>
              <w:bottom w:val="single" w:sz="4"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-670.3</w:t>
            </w:r>
          </w:p>
        </w:tc>
        <w:tc>
          <w:tcPr>
            <w:tcW w:w="50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-1,227.9</w:t>
            </w:r>
          </w:p>
        </w:tc>
        <w:tc>
          <w:tcPr>
            <w:tcW w:w="50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-1,829.2</w:t>
            </w:r>
          </w:p>
        </w:tc>
        <w:tc>
          <w:tcPr>
            <w:tcW w:w="50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-2,475.6</w:t>
            </w:r>
          </w:p>
        </w:tc>
      </w:tr>
      <w:tr w:rsidR="00A21683" w:rsidRPr="00E6522E" w:rsidTr="00A21683">
        <w:trPr>
          <w:trHeight w:val="113"/>
        </w:trPr>
        <w:tc>
          <w:tcPr>
            <w:tcW w:w="2464" w:type="pct"/>
            <w:tcBorders>
              <w:top w:val="nil"/>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sz w:val="18"/>
                <w:szCs w:val="20"/>
              </w:rPr>
            </w:pPr>
            <w:r w:rsidRPr="00E6522E">
              <w:rPr>
                <w:rFonts w:eastAsia="Times New Roman" w:cstheme="minorHAnsi"/>
                <w:b/>
                <w:bCs/>
                <w:color w:val="000000"/>
                <w:sz w:val="18"/>
                <w:szCs w:val="20"/>
              </w:rPr>
              <w:t>Broad Money M3</w:t>
            </w:r>
          </w:p>
        </w:tc>
        <w:tc>
          <w:tcPr>
            <w:tcW w:w="507" w:type="pct"/>
            <w:tcBorders>
              <w:top w:val="nil"/>
              <w:left w:val="nil"/>
              <w:bottom w:val="single" w:sz="4"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-739.8</w:t>
            </w:r>
          </w:p>
        </w:tc>
        <w:tc>
          <w:tcPr>
            <w:tcW w:w="507" w:type="pct"/>
            <w:tcBorders>
              <w:top w:val="nil"/>
              <w:left w:val="double" w:sz="6" w:space="0" w:color="auto"/>
              <w:bottom w:val="single" w:sz="4"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1,032.6</w:t>
            </w:r>
          </w:p>
        </w:tc>
        <w:tc>
          <w:tcPr>
            <w:tcW w:w="50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1,292.1</w:t>
            </w:r>
          </w:p>
        </w:tc>
        <w:tc>
          <w:tcPr>
            <w:tcW w:w="50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1,041.0</w:t>
            </w:r>
          </w:p>
        </w:tc>
        <w:tc>
          <w:tcPr>
            <w:tcW w:w="50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237.0</w:t>
            </w:r>
          </w:p>
        </w:tc>
      </w:tr>
      <w:tr w:rsidR="00A21683" w:rsidRPr="00E6522E" w:rsidTr="00A21683">
        <w:trPr>
          <w:trHeight w:val="300"/>
        </w:trPr>
        <w:tc>
          <w:tcPr>
            <w:tcW w:w="2464" w:type="pct"/>
            <w:tcBorders>
              <w:top w:val="nil"/>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rPr>
            </w:pPr>
            <w:r w:rsidRPr="00E6522E">
              <w:rPr>
                <w:rFonts w:eastAsia="Times New Roman" w:cstheme="minorHAnsi"/>
                <w:b/>
                <w:bCs/>
                <w:color w:val="000000"/>
                <w:sz w:val="18"/>
                <w:szCs w:val="20"/>
              </w:rPr>
              <w:t xml:space="preserve">Updated Forecast of Broad Money M3, </w:t>
            </w:r>
          </w:p>
        </w:tc>
        <w:tc>
          <w:tcPr>
            <w:tcW w:w="507" w:type="pct"/>
            <w:tcBorders>
              <w:top w:val="nil"/>
              <w:left w:val="nil"/>
              <w:bottom w:val="single" w:sz="4"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rPr>
            </w:pPr>
            <w:r w:rsidRPr="00E6522E">
              <w:rPr>
                <w:rFonts w:eastAsia="Times New Roman" w:cstheme="minorHAnsi"/>
                <w:b/>
                <w:bCs/>
                <w:color w:val="000000"/>
              </w:rPr>
              <w:t>21,124.7</w:t>
            </w:r>
          </w:p>
        </w:tc>
        <w:tc>
          <w:tcPr>
            <w:tcW w:w="507" w:type="pct"/>
            <w:tcBorders>
              <w:top w:val="nil"/>
              <w:left w:val="double" w:sz="6" w:space="0" w:color="auto"/>
              <w:bottom w:val="single" w:sz="4"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rPr>
            </w:pPr>
            <w:r w:rsidRPr="00E6522E">
              <w:rPr>
                <w:rFonts w:eastAsia="Times New Roman" w:cstheme="minorHAnsi"/>
                <w:b/>
                <w:bCs/>
                <w:color w:val="000000"/>
              </w:rPr>
              <w:t>25,766.2</w:t>
            </w:r>
          </w:p>
        </w:tc>
        <w:tc>
          <w:tcPr>
            <w:tcW w:w="50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rPr>
            </w:pPr>
            <w:r w:rsidRPr="00E6522E">
              <w:rPr>
                <w:rFonts w:eastAsia="Times New Roman" w:cstheme="minorHAnsi"/>
                <w:b/>
                <w:bCs/>
                <w:color w:val="000000"/>
              </w:rPr>
              <w:t>29,463.7</w:t>
            </w:r>
          </w:p>
        </w:tc>
        <w:tc>
          <w:tcPr>
            <w:tcW w:w="50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rPr>
            </w:pPr>
            <w:r w:rsidRPr="00E6522E">
              <w:rPr>
                <w:rFonts w:eastAsia="Times New Roman" w:cstheme="minorHAnsi"/>
                <w:b/>
                <w:bCs/>
                <w:color w:val="000000"/>
              </w:rPr>
              <w:t>33,518.2</w:t>
            </w:r>
          </w:p>
        </w:tc>
        <w:tc>
          <w:tcPr>
            <w:tcW w:w="50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rPr>
            </w:pPr>
            <w:r w:rsidRPr="00E6522E">
              <w:rPr>
                <w:rFonts w:eastAsia="Times New Roman" w:cstheme="minorHAnsi"/>
                <w:b/>
                <w:bCs/>
                <w:color w:val="000000"/>
              </w:rPr>
              <w:t>38,130.7</w:t>
            </w:r>
          </w:p>
        </w:tc>
      </w:tr>
    </w:tbl>
    <w:p w:rsidR="00A21683" w:rsidRPr="00E6522E" w:rsidRDefault="00A21683" w:rsidP="00C551C7">
      <w:pPr>
        <w:pStyle w:val="NoSpacing"/>
        <w:ind w:left="1080"/>
        <w:jc w:val="both"/>
        <w:rPr>
          <w:rFonts w:cstheme="minorHAnsi"/>
          <w:lang w:val="ka-GE"/>
        </w:rPr>
      </w:pPr>
    </w:p>
    <w:p w:rsidR="00CF227E" w:rsidRPr="00E6522E" w:rsidRDefault="00CF227E" w:rsidP="00C551C7">
      <w:pPr>
        <w:pStyle w:val="ListParagraph"/>
        <w:ind w:left="1080"/>
        <w:rPr>
          <w:rFonts w:cstheme="minorHAnsi"/>
          <w:lang w:val="ka-GE"/>
        </w:rPr>
      </w:pPr>
    </w:p>
    <w:p w:rsidR="00CF227E" w:rsidRPr="00E6522E" w:rsidRDefault="00CF227E">
      <w:pPr>
        <w:rPr>
          <w:rFonts w:cstheme="minorHAnsi"/>
          <w:lang w:val="ka-GE"/>
        </w:rPr>
      </w:pPr>
      <w:r w:rsidRPr="00E6522E">
        <w:rPr>
          <w:rFonts w:cstheme="minorHAnsi"/>
          <w:lang w:val="ka-GE"/>
        </w:rPr>
        <w:br w:type="page"/>
      </w:r>
    </w:p>
    <w:p w:rsidR="007B6E63" w:rsidRPr="00E6522E" w:rsidRDefault="001D7123" w:rsidP="007B6E63">
      <w:pPr>
        <w:pStyle w:val="Heading1"/>
        <w:numPr>
          <w:ilvl w:val="0"/>
          <w:numId w:val="1"/>
        </w:numPr>
        <w:rPr>
          <w:rFonts w:asciiTheme="minorHAnsi" w:hAnsiTheme="minorHAnsi" w:cstheme="minorHAnsi"/>
          <w:b/>
          <w:sz w:val="28"/>
          <w:lang w:val="ka-GE"/>
        </w:rPr>
      </w:pPr>
      <w:r w:rsidRPr="00E6522E">
        <w:rPr>
          <w:rFonts w:asciiTheme="minorHAnsi" w:hAnsiTheme="minorHAnsi" w:cstheme="minorHAnsi"/>
          <w:b/>
          <w:sz w:val="28"/>
        </w:rPr>
        <w:t>Fiscal Framework</w:t>
      </w:r>
    </w:p>
    <w:p w:rsidR="00C8711F" w:rsidRPr="00E6522E" w:rsidRDefault="00C8711F" w:rsidP="00C8711F">
      <w:pPr>
        <w:jc w:val="right"/>
        <w:rPr>
          <w:rFonts w:cstheme="minorHAnsi"/>
          <w:b/>
          <w:i/>
          <w:sz w:val="18"/>
          <w:u w:val="single"/>
          <w:lang w:val="ka-GE"/>
        </w:rPr>
      </w:pPr>
      <w:r w:rsidRPr="00E6522E">
        <w:rPr>
          <w:rFonts w:cstheme="minorHAnsi"/>
          <w:b/>
          <w:i/>
          <w:sz w:val="18"/>
          <w:u w:val="single"/>
        </w:rPr>
        <w:t>(</w:t>
      </w:r>
      <w:r w:rsidR="001D7123" w:rsidRPr="00E6522E">
        <w:rPr>
          <w:rFonts w:cstheme="minorHAnsi"/>
          <w:b/>
          <w:i/>
          <w:sz w:val="18"/>
          <w:u w:val="single"/>
        </w:rPr>
        <w:t>Million GEL</w:t>
      </w:r>
      <w:r w:rsidRPr="00E6522E">
        <w:rPr>
          <w:rFonts w:cstheme="minorHAnsi"/>
          <w:b/>
          <w:i/>
          <w:sz w:val="18"/>
          <w:u w:val="single"/>
          <w:lang w:val="ka-GE"/>
        </w:rPr>
        <w:t>)</w:t>
      </w:r>
    </w:p>
    <w:tbl>
      <w:tblPr>
        <w:tblW w:w="5067" w:type="pct"/>
        <w:tblInd w:w="-95" w:type="dxa"/>
        <w:tblLook w:val="04A0" w:firstRow="1" w:lastRow="0" w:firstColumn="1" w:lastColumn="0" w:noHBand="0" w:noVBand="1"/>
      </w:tblPr>
      <w:tblGrid>
        <w:gridCol w:w="2519"/>
        <w:gridCol w:w="1441"/>
        <w:gridCol w:w="1441"/>
        <w:gridCol w:w="1441"/>
        <w:gridCol w:w="1441"/>
        <w:gridCol w:w="1443"/>
        <w:gridCol w:w="10"/>
      </w:tblGrid>
      <w:tr w:rsidR="004061D7" w:rsidRPr="00E6522E" w:rsidTr="004061D7">
        <w:trPr>
          <w:gridAfter w:val="1"/>
          <w:wAfter w:w="5" w:type="pct"/>
          <w:trHeight w:val="288"/>
          <w:tblHeader/>
        </w:trPr>
        <w:tc>
          <w:tcPr>
            <w:tcW w:w="1294" w:type="pct"/>
            <w:vMerge w:val="restart"/>
            <w:tcBorders>
              <w:top w:val="single" w:sz="4" w:space="0" w:color="auto"/>
              <w:left w:val="single" w:sz="4" w:space="0" w:color="auto"/>
              <w:right w:val="single" w:sz="4" w:space="0" w:color="auto"/>
            </w:tcBorders>
            <w:shd w:val="clear" w:color="auto" w:fill="auto"/>
            <w:noWrap/>
            <w:vAlign w:val="bottom"/>
            <w:hideMark/>
          </w:tcPr>
          <w:p w:rsidR="004061D7" w:rsidRPr="00E6522E" w:rsidRDefault="004061D7" w:rsidP="00806EBA">
            <w:pPr>
              <w:spacing w:after="0" w:line="240" w:lineRule="auto"/>
              <w:rPr>
                <w:rFonts w:eastAsia="Times New Roman" w:cstheme="minorHAnsi"/>
                <w:sz w:val="18"/>
                <w:szCs w:val="18"/>
              </w:rPr>
            </w:pPr>
            <w:r w:rsidRPr="00E6522E">
              <w:rPr>
                <w:rFonts w:eastAsia="Times New Roman" w:cstheme="minorHAnsi"/>
                <w:sz w:val="18"/>
                <w:szCs w:val="18"/>
              </w:rPr>
              <w:t> </w:t>
            </w:r>
          </w:p>
          <w:p w:rsidR="004061D7" w:rsidRPr="00E6522E" w:rsidRDefault="004061D7" w:rsidP="00806EBA">
            <w:pPr>
              <w:spacing w:after="0" w:line="240" w:lineRule="auto"/>
              <w:rPr>
                <w:rFonts w:eastAsia="Times New Roman" w:cstheme="minorHAnsi"/>
                <w:sz w:val="18"/>
                <w:szCs w:val="18"/>
              </w:rPr>
            </w:pPr>
            <w:r w:rsidRPr="00E6522E">
              <w:rPr>
                <w:rFonts w:eastAsia="Times New Roman" w:cstheme="minorHAnsi"/>
                <w:sz w:val="18"/>
                <w:szCs w:val="18"/>
              </w:rPr>
              <w:t> </w:t>
            </w:r>
          </w:p>
        </w:tc>
        <w:tc>
          <w:tcPr>
            <w:tcW w:w="740" w:type="pct"/>
            <w:tcBorders>
              <w:top w:val="single" w:sz="4" w:space="0" w:color="auto"/>
              <w:left w:val="nil"/>
              <w:bottom w:val="single" w:sz="4" w:space="0" w:color="auto"/>
              <w:right w:val="single" w:sz="4" w:space="0" w:color="auto"/>
            </w:tcBorders>
            <w:shd w:val="clear" w:color="auto" w:fill="auto"/>
            <w:noWrap/>
            <w:vAlign w:val="bottom"/>
            <w:hideMark/>
          </w:tcPr>
          <w:p w:rsidR="004061D7" w:rsidRPr="00E6522E" w:rsidRDefault="004061D7" w:rsidP="00806EBA">
            <w:pPr>
              <w:spacing w:after="0" w:line="240" w:lineRule="auto"/>
              <w:jc w:val="center"/>
              <w:rPr>
                <w:rFonts w:eastAsia="Times New Roman" w:cstheme="minorHAnsi"/>
                <w:b/>
                <w:bCs/>
                <w:sz w:val="18"/>
                <w:szCs w:val="18"/>
              </w:rPr>
            </w:pPr>
            <w:r w:rsidRPr="00E6522E">
              <w:rPr>
                <w:rFonts w:eastAsia="Times New Roman" w:cstheme="minorHAnsi"/>
                <w:b/>
                <w:bCs/>
                <w:sz w:val="18"/>
                <w:szCs w:val="18"/>
              </w:rPr>
              <w:t>2019</w:t>
            </w:r>
          </w:p>
        </w:tc>
        <w:tc>
          <w:tcPr>
            <w:tcW w:w="740" w:type="pct"/>
            <w:tcBorders>
              <w:top w:val="single" w:sz="4" w:space="0" w:color="auto"/>
              <w:left w:val="nil"/>
              <w:bottom w:val="single" w:sz="4" w:space="0" w:color="auto"/>
              <w:right w:val="single" w:sz="4" w:space="0" w:color="auto"/>
            </w:tcBorders>
            <w:shd w:val="clear" w:color="auto" w:fill="auto"/>
            <w:noWrap/>
            <w:vAlign w:val="bottom"/>
            <w:hideMark/>
          </w:tcPr>
          <w:p w:rsidR="004061D7" w:rsidRPr="00E6522E" w:rsidRDefault="004061D7" w:rsidP="00806EBA">
            <w:pPr>
              <w:spacing w:after="0" w:line="240" w:lineRule="auto"/>
              <w:jc w:val="center"/>
              <w:rPr>
                <w:rFonts w:eastAsia="Times New Roman" w:cstheme="minorHAnsi"/>
                <w:b/>
                <w:bCs/>
                <w:sz w:val="18"/>
                <w:szCs w:val="18"/>
              </w:rPr>
            </w:pPr>
            <w:r w:rsidRPr="00E6522E">
              <w:rPr>
                <w:rFonts w:eastAsia="Times New Roman" w:cstheme="minorHAnsi"/>
                <w:b/>
                <w:bCs/>
                <w:sz w:val="18"/>
                <w:szCs w:val="18"/>
              </w:rPr>
              <w:t>2020</w:t>
            </w:r>
          </w:p>
        </w:tc>
        <w:tc>
          <w:tcPr>
            <w:tcW w:w="740" w:type="pct"/>
            <w:tcBorders>
              <w:top w:val="single" w:sz="4" w:space="0" w:color="auto"/>
              <w:left w:val="nil"/>
              <w:bottom w:val="single" w:sz="4" w:space="0" w:color="auto"/>
              <w:right w:val="single" w:sz="4" w:space="0" w:color="auto"/>
            </w:tcBorders>
            <w:shd w:val="clear" w:color="auto" w:fill="auto"/>
            <w:noWrap/>
            <w:vAlign w:val="bottom"/>
            <w:hideMark/>
          </w:tcPr>
          <w:p w:rsidR="004061D7" w:rsidRPr="00E6522E" w:rsidRDefault="004061D7" w:rsidP="00806EBA">
            <w:pPr>
              <w:spacing w:after="0" w:line="240" w:lineRule="auto"/>
              <w:jc w:val="center"/>
              <w:rPr>
                <w:rFonts w:eastAsia="Times New Roman" w:cstheme="minorHAnsi"/>
                <w:b/>
                <w:bCs/>
                <w:sz w:val="18"/>
                <w:szCs w:val="18"/>
              </w:rPr>
            </w:pPr>
            <w:r w:rsidRPr="00E6522E">
              <w:rPr>
                <w:rFonts w:eastAsia="Times New Roman" w:cstheme="minorHAnsi"/>
                <w:b/>
                <w:bCs/>
                <w:sz w:val="18"/>
                <w:szCs w:val="18"/>
              </w:rPr>
              <w:t>2021</w:t>
            </w:r>
          </w:p>
        </w:tc>
        <w:tc>
          <w:tcPr>
            <w:tcW w:w="740" w:type="pct"/>
            <w:tcBorders>
              <w:top w:val="single" w:sz="4" w:space="0" w:color="auto"/>
              <w:left w:val="nil"/>
              <w:bottom w:val="single" w:sz="4" w:space="0" w:color="auto"/>
              <w:right w:val="single" w:sz="4" w:space="0" w:color="auto"/>
            </w:tcBorders>
            <w:shd w:val="clear" w:color="auto" w:fill="auto"/>
            <w:noWrap/>
            <w:vAlign w:val="bottom"/>
            <w:hideMark/>
          </w:tcPr>
          <w:p w:rsidR="004061D7" w:rsidRPr="00E6522E" w:rsidRDefault="004061D7" w:rsidP="00806EBA">
            <w:pPr>
              <w:spacing w:after="0" w:line="240" w:lineRule="auto"/>
              <w:jc w:val="center"/>
              <w:rPr>
                <w:rFonts w:eastAsia="Times New Roman" w:cstheme="minorHAnsi"/>
                <w:b/>
                <w:bCs/>
                <w:sz w:val="18"/>
                <w:szCs w:val="18"/>
              </w:rPr>
            </w:pPr>
            <w:r w:rsidRPr="00E6522E">
              <w:rPr>
                <w:rFonts w:eastAsia="Times New Roman" w:cstheme="minorHAnsi"/>
                <w:b/>
                <w:bCs/>
                <w:sz w:val="18"/>
                <w:szCs w:val="18"/>
              </w:rPr>
              <w:t>2022</w:t>
            </w:r>
          </w:p>
        </w:tc>
        <w:tc>
          <w:tcPr>
            <w:tcW w:w="741" w:type="pct"/>
            <w:tcBorders>
              <w:top w:val="single" w:sz="4" w:space="0" w:color="auto"/>
              <w:left w:val="nil"/>
              <w:bottom w:val="single" w:sz="4" w:space="0" w:color="auto"/>
              <w:right w:val="single" w:sz="4" w:space="0" w:color="auto"/>
            </w:tcBorders>
            <w:shd w:val="clear" w:color="000000" w:fill="FDE9D9"/>
            <w:noWrap/>
            <w:vAlign w:val="bottom"/>
            <w:hideMark/>
          </w:tcPr>
          <w:p w:rsidR="004061D7" w:rsidRPr="00E6522E" w:rsidRDefault="004061D7" w:rsidP="00806EBA">
            <w:pPr>
              <w:spacing w:after="0" w:line="240" w:lineRule="auto"/>
              <w:jc w:val="center"/>
              <w:rPr>
                <w:rFonts w:eastAsia="Times New Roman" w:cstheme="minorHAnsi"/>
                <w:b/>
                <w:bCs/>
                <w:sz w:val="18"/>
                <w:szCs w:val="18"/>
              </w:rPr>
            </w:pPr>
            <w:r w:rsidRPr="00E6522E">
              <w:rPr>
                <w:rFonts w:eastAsia="Times New Roman" w:cstheme="minorHAnsi"/>
                <w:b/>
                <w:bCs/>
                <w:sz w:val="18"/>
                <w:szCs w:val="18"/>
              </w:rPr>
              <w:t>2023</w:t>
            </w:r>
          </w:p>
        </w:tc>
      </w:tr>
      <w:tr w:rsidR="004061D7" w:rsidRPr="00E6522E" w:rsidTr="004061D7">
        <w:trPr>
          <w:gridAfter w:val="1"/>
          <w:wAfter w:w="5" w:type="pct"/>
          <w:trHeight w:val="288"/>
          <w:tblHeader/>
        </w:trPr>
        <w:tc>
          <w:tcPr>
            <w:tcW w:w="1294" w:type="pct"/>
            <w:vMerge/>
            <w:tcBorders>
              <w:left w:val="single" w:sz="4" w:space="0" w:color="auto"/>
              <w:bottom w:val="single" w:sz="4" w:space="0" w:color="auto"/>
              <w:right w:val="single" w:sz="4" w:space="0" w:color="auto"/>
            </w:tcBorders>
            <w:shd w:val="clear" w:color="auto" w:fill="auto"/>
            <w:noWrap/>
            <w:vAlign w:val="bottom"/>
            <w:hideMark/>
          </w:tcPr>
          <w:p w:rsidR="004061D7" w:rsidRPr="00E6522E" w:rsidRDefault="004061D7" w:rsidP="00806EBA">
            <w:pPr>
              <w:spacing w:after="0" w:line="240" w:lineRule="auto"/>
              <w:rPr>
                <w:rFonts w:eastAsia="Times New Roman" w:cstheme="minorHAnsi"/>
                <w:sz w:val="18"/>
                <w:szCs w:val="18"/>
              </w:rPr>
            </w:pPr>
          </w:p>
        </w:tc>
        <w:tc>
          <w:tcPr>
            <w:tcW w:w="740" w:type="pct"/>
            <w:tcBorders>
              <w:top w:val="nil"/>
              <w:left w:val="nil"/>
              <w:bottom w:val="single" w:sz="4" w:space="0" w:color="auto"/>
              <w:right w:val="single" w:sz="4" w:space="0" w:color="auto"/>
            </w:tcBorders>
            <w:shd w:val="clear" w:color="auto" w:fill="auto"/>
            <w:noWrap/>
            <w:vAlign w:val="bottom"/>
            <w:hideMark/>
          </w:tcPr>
          <w:p w:rsidR="004061D7" w:rsidRPr="00E6522E" w:rsidRDefault="004061D7" w:rsidP="00DB05A5">
            <w:pPr>
              <w:spacing w:after="0" w:line="240" w:lineRule="auto"/>
              <w:jc w:val="center"/>
              <w:rPr>
                <w:rFonts w:eastAsia="Times New Roman" w:cstheme="minorHAnsi"/>
                <w:b/>
                <w:bCs/>
                <w:sz w:val="18"/>
                <w:szCs w:val="18"/>
              </w:rPr>
            </w:pPr>
            <w:r w:rsidRPr="00E6522E">
              <w:rPr>
                <w:rFonts w:eastAsia="Times New Roman" w:cstheme="minorHAnsi"/>
                <w:b/>
                <w:bCs/>
                <w:sz w:val="18"/>
                <w:szCs w:val="18"/>
              </w:rPr>
              <w:t>Expected</w:t>
            </w:r>
          </w:p>
        </w:tc>
        <w:tc>
          <w:tcPr>
            <w:tcW w:w="740" w:type="pct"/>
            <w:tcBorders>
              <w:top w:val="nil"/>
              <w:left w:val="nil"/>
              <w:bottom w:val="single" w:sz="4" w:space="0" w:color="auto"/>
              <w:right w:val="single" w:sz="4" w:space="0" w:color="auto"/>
            </w:tcBorders>
            <w:shd w:val="clear" w:color="auto" w:fill="auto"/>
            <w:noWrap/>
            <w:vAlign w:val="bottom"/>
            <w:hideMark/>
          </w:tcPr>
          <w:p w:rsidR="004061D7" w:rsidRPr="00E6522E" w:rsidRDefault="004061D7" w:rsidP="00806EBA">
            <w:pPr>
              <w:spacing w:after="0" w:line="240" w:lineRule="auto"/>
              <w:jc w:val="center"/>
              <w:rPr>
                <w:rFonts w:eastAsia="Times New Roman" w:cstheme="minorHAnsi"/>
                <w:b/>
                <w:bCs/>
                <w:sz w:val="18"/>
                <w:szCs w:val="18"/>
              </w:rPr>
            </w:pPr>
            <w:r w:rsidRPr="00E6522E">
              <w:rPr>
                <w:rFonts w:eastAsia="Times New Roman" w:cstheme="minorHAnsi"/>
                <w:b/>
                <w:bCs/>
                <w:sz w:val="18"/>
                <w:szCs w:val="18"/>
              </w:rPr>
              <w:t>Forecast</w:t>
            </w:r>
          </w:p>
        </w:tc>
        <w:tc>
          <w:tcPr>
            <w:tcW w:w="740" w:type="pct"/>
            <w:tcBorders>
              <w:top w:val="nil"/>
              <w:left w:val="nil"/>
              <w:bottom w:val="single" w:sz="4" w:space="0" w:color="auto"/>
              <w:right w:val="single" w:sz="4" w:space="0" w:color="auto"/>
            </w:tcBorders>
            <w:shd w:val="clear" w:color="auto" w:fill="auto"/>
            <w:noWrap/>
            <w:vAlign w:val="bottom"/>
            <w:hideMark/>
          </w:tcPr>
          <w:p w:rsidR="004061D7" w:rsidRPr="00E6522E" w:rsidRDefault="004061D7" w:rsidP="00806EBA">
            <w:pPr>
              <w:spacing w:after="0" w:line="240" w:lineRule="auto"/>
              <w:jc w:val="center"/>
              <w:rPr>
                <w:rFonts w:eastAsia="Times New Roman" w:cstheme="minorHAnsi"/>
                <w:b/>
                <w:bCs/>
                <w:sz w:val="18"/>
                <w:szCs w:val="18"/>
              </w:rPr>
            </w:pPr>
            <w:r w:rsidRPr="00E6522E">
              <w:rPr>
                <w:rFonts w:eastAsia="Times New Roman" w:cstheme="minorHAnsi"/>
                <w:b/>
                <w:bCs/>
                <w:sz w:val="18"/>
                <w:szCs w:val="18"/>
              </w:rPr>
              <w:t>Forecast</w:t>
            </w:r>
          </w:p>
        </w:tc>
        <w:tc>
          <w:tcPr>
            <w:tcW w:w="740" w:type="pct"/>
            <w:tcBorders>
              <w:top w:val="nil"/>
              <w:left w:val="nil"/>
              <w:bottom w:val="single" w:sz="4" w:space="0" w:color="auto"/>
              <w:right w:val="single" w:sz="4" w:space="0" w:color="auto"/>
            </w:tcBorders>
            <w:shd w:val="clear" w:color="auto" w:fill="auto"/>
            <w:noWrap/>
            <w:vAlign w:val="bottom"/>
            <w:hideMark/>
          </w:tcPr>
          <w:p w:rsidR="004061D7" w:rsidRPr="00E6522E" w:rsidRDefault="004061D7" w:rsidP="00806EBA">
            <w:pPr>
              <w:spacing w:after="0" w:line="240" w:lineRule="auto"/>
              <w:jc w:val="center"/>
              <w:rPr>
                <w:rFonts w:eastAsia="Times New Roman" w:cstheme="minorHAnsi"/>
                <w:b/>
                <w:bCs/>
                <w:sz w:val="18"/>
                <w:szCs w:val="18"/>
              </w:rPr>
            </w:pPr>
            <w:r w:rsidRPr="00E6522E">
              <w:rPr>
                <w:rFonts w:eastAsia="Times New Roman" w:cstheme="minorHAnsi"/>
                <w:b/>
                <w:bCs/>
                <w:sz w:val="18"/>
                <w:szCs w:val="18"/>
              </w:rPr>
              <w:t>Forecast</w:t>
            </w:r>
          </w:p>
        </w:tc>
        <w:tc>
          <w:tcPr>
            <w:tcW w:w="741" w:type="pct"/>
            <w:tcBorders>
              <w:top w:val="nil"/>
              <w:left w:val="nil"/>
              <w:bottom w:val="single" w:sz="4" w:space="0" w:color="auto"/>
              <w:right w:val="single" w:sz="4" w:space="0" w:color="auto"/>
            </w:tcBorders>
            <w:shd w:val="clear" w:color="000000" w:fill="FDE9D9"/>
            <w:noWrap/>
            <w:vAlign w:val="bottom"/>
            <w:hideMark/>
          </w:tcPr>
          <w:p w:rsidR="004061D7" w:rsidRPr="00E6522E" w:rsidRDefault="004061D7" w:rsidP="00806EBA">
            <w:pPr>
              <w:spacing w:after="0" w:line="240" w:lineRule="auto"/>
              <w:jc w:val="center"/>
              <w:rPr>
                <w:rFonts w:eastAsia="Times New Roman" w:cstheme="minorHAnsi"/>
                <w:b/>
                <w:bCs/>
                <w:sz w:val="18"/>
                <w:szCs w:val="18"/>
              </w:rPr>
            </w:pPr>
            <w:r w:rsidRPr="00E6522E">
              <w:rPr>
                <w:rFonts w:eastAsia="Times New Roman" w:cstheme="minorHAnsi"/>
                <w:b/>
                <w:bCs/>
                <w:sz w:val="18"/>
                <w:szCs w:val="18"/>
              </w:rPr>
              <w:t>Forecast</w:t>
            </w:r>
          </w:p>
        </w:tc>
      </w:tr>
      <w:tr w:rsidR="00E4430E" w:rsidRPr="00E6522E" w:rsidTr="001D7123">
        <w:trPr>
          <w:trHeight w:val="288"/>
        </w:trPr>
        <w:tc>
          <w:tcPr>
            <w:tcW w:w="5000" w:type="pct"/>
            <w:gridSpan w:val="7"/>
            <w:tcBorders>
              <w:top w:val="nil"/>
              <w:left w:val="single" w:sz="4" w:space="0" w:color="auto"/>
              <w:bottom w:val="single" w:sz="4" w:space="0" w:color="auto"/>
              <w:right w:val="single" w:sz="4" w:space="0" w:color="auto"/>
            </w:tcBorders>
            <w:shd w:val="clear" w:color="auto" w:fill="auto"/>
            <w:noWrap/>
            <w:vAlign w:val="bottom"/>
            <w:hideMark/>
          </w:tcPr>
          <w:p w:rsidR="00E4430E" w:rsidRPr="00E6522E" w:rsidRDefault="00E4430E" w:rsidP="00E4430E">
            <w:pPr>
              <w:spacing w:after="0" w:line="240" w:lineRule="auto"/>
              <w:rPr>
                <w:rFonts w:eastAsia="Times New Roman" w:cstheme="minorHAnsi"/>
                <w:sz w:val="18"/>
                <w:szCs w:val="18"/>
              </w:rPr>
            </w:pPr>
          </w:p>
        </w:tc>
      </w:tr>
      <w:tr w:rsidR="00E4430E" w:rsidRPr="00E6522E" w:rsidTr="001D7123">
        <w:trPr>
          <w:gridAfter w:val="1"/>
          <w:wAfter w:w="5" w:type="pct"/>
          <w:trHeight w:val="288"/>
        </w:trPr>
        <w:tc>
          <w:tcPr>
            <w:tcW w:w="1294" w:type="pct"/>
            <w:tcBorders>
              <w:top w:val="nil"/>
              <w:left w:val="single" w:sz="4" w:space="0" w:color="auto"/>
              <w:bottom w:val="single" w:sz="4" w:space="0" w:color="auto"/>
              <w:right w:val="single" w:sz="4" w:space="0" w:color="auto"/>
            </w:tcBorders>
            <w:shd w:val="clear" w:color="000000" w:fill="FDE9D9"/>
            <w:vAlign w:val="bottom"/>
            <w:hideMark/>
          </w:tcPr>
          <w:p w:rsidR="00E4430E" w:rsidRPr="00E6522E" w:rsidRDefault="001D7123" w:rsidP="00806EBA">
            <w:pPr>
              <w:spacing w:after="0" w:line="240" w:lineRule="auto"/>
              <w:rPr>
                <w:rFonts w:eastAsia="Times New Roman" w:cstheme="minorHAnsi"/>
                <w:b/>
                <w:bCs/>
                <w:sz w:val="18"/>
                <w:szCs w:val="18"/>
              </w:rPr>
            </w:pPr>
            <w:r w:rsidRPr="00E6522E">
              <w:rPr>
                <w:rFonts w:eastAsia="Times New Roman" w:cstheme="minorHAnsi"/>
                <w:b/>
                <w:bCs/>
                <w:sz w:val="18"/>
                <w:szCs w:val="18"/>
              </w:rPr>
              <w:t>Revenue</w:t>
            </w:r>
          </w:p>
        </w:tc>
        <w:tc>
          <w:tcPr>
            <w:tcW w:w="3701" w:type="pct"/>
            <w:gridSpan w:val="5"/>
            <w:tcBorders>
              <w:top w:val="nil"/>
              <w:left w:val="nil"/>
              <w:bottom w:val="single" w:sz="4" w:space="0" w:color="auto"/>
              <w:right w:val="single" w:sz="4" w:space="0" w:color="auto"/>
            </w:tcBorders>
            <w:shd w:val="clear" w:color="000000" w:fill="FDE9D9"/>
            <w:noWrap/>
            <w:vAlign w:val="bottom"/>
            <w:hideMark/>
          </w:tcPr>
          <w:p w:rsidR="00E4430E" w:rsidRPr="00E6522E" w:rsidRDefault="00E4430E" w:rsidP="00E4430E">
            <w:pPr>
              <w:spacing w:after="0" w:line="240" w:lineRule="auto"/>
              <w:rPr>
                <w:rFonts w:eastAsia="Times New Roman" w:cstheme="minorHAnsi"/>
                <w:sz w:val="18"/>
                <w:szCs w:val="18"/>
              </w:rPr>
            </w:pPr>
          </w:p>
        </w:tc>
      </w:tr>
      <w:tr w:rsidR="00806EBA" w:rsidRPr="00E6522E" w:rsidTr="004061D7">
        <w:trPr>
          <w:gridAfter w:val="1"/>
          <w:wAfter w:w="5" w:type="pct"/>
          <w:trHeight w:val="288"/>
        </w:trPr>
        <w:tc>
          <w:tcPr>
            <w:tcW w:w="1294" w:type="pct"/>
            <w:tcBorders>
              <w:top w:val="nil"/>
              <w:left w:val="single" w:sz="4" w:space="0" w:color="auto"/>
              <w:bottom w:val="single" w:sz="4" w:space="0" w:color="auto"/>
              <w:right w:val="single" w:sz="4" w:space="0" w:color="auto"/>
            </w:tcBorders>
            <w:shd w:val="clear" w:color="auto" w:fill="auto"/>
            <w:vAlign w:val="bottom"/>
            <w:hideMark/>
          </w:tcPr>
          <w:p w:rsidR="00806EBA" w:rsidRPr="00E6522E" w:rsidRDefault="00806EBA" w:rsidP="001D7123">
            <w:pPr>
              <w:spacing w:after="0" w:line="240" w:lineRule="auto"/>
              <w:ind w:firstLineChars="100" w:firstLine="180"/>
              <w:rPr>
                <w:rFonts w:eastAsia="Times New Roman" w:cstheme="minorHAnsi"/>
                <w:sz w:val="18"/>
                <w:szCs w:val="18"/>
              </w:rPr>
            </w:pPr>
            <w:r w:rsidRPr="00E6522E">
              <w:rPr>
                <w:rFonts w:eastAsia="Times New Roman" w:cstheme="minorHAnsi"/>
                <w:sz w:val="18"/>
                <w:szCs w:val="18"/>
              </w:rPr>
              <w:t xml:space="preserve">2019-2022 </w:t>
            </w:r>
            <w:r w:rsidR="00A21683" w:rsidRPr="00E6522E">
              <w:rPr>
                <w:rFonts w:eastAsia="Times New Roman" w:cstheme="minorHAnsi"/>
                <w:sz w:val="18"/>
                <w:szCs w:val="18"/>
              </w:rPr>
              <w:t>Forecast</w:t>
            </w:r>
          </w:p>
        </w:tc>
        <w:tc>
          <w:tcPr>
            <w:tcW w:w="740" w:type="pct"/>
            <w:tcBorders>
              <w:top w:val="nil"/>
              <w:left w:val="nil"/>
              <w:bottom w:val="single" w:sz="4" w:space="0" w:color="auto"/>
              <w:right w:val="single" w:sz="4" w:space="0" w:color="auto"/>
            </w:tcBorders>
            <w:shd w:val="clear" w:color="auto" w:fill="auto"/>
            <w:noWrap/>
            <w:vAlign w:val="bottom"/>
            <w:hideMark/>
          </w:tcPr>
          <w:p w:rsidR="00806EBA" w:rsidRPr="00E6522E" w:rsidRDefault="00806EBA" w:rsidP="00E4430E">
            <w:pPr>
              <w:spacing w:after="0" w:line="240" w:lineRule="auto"/>
              <w:jc w:val="center"/>
              <w:rPr>
                <w:rFonts w:eastAsia="Times New Roman" w:cstheme="minorHAnsi"/>
                <w:bCs/>
                <w:sz w:val="18"/>
                <w:szCs w:val="18"/>
              </w:rPr>
            </w:pPr>
            <w:r w:rsidRPr="00E6522E">
              <w:rPr>
                <w:rFonts w:eastAsia="Times New Roman" w:cstheme="minorHAnsi"/>
                <w:bCs/>
                <w:sz w:val="18"/>
                <w:szCs w:val="18"/>
              </w:rPr>
              <w:t>12 578,0</w:t>
            </w:r>
          </w:p>
        </w:tc>
        <w:tc>
          <w:tcPr>
            <w:tcW w:w="740" w:type="pct"/>
            <w:tcBorders>
              <w:top w:val="nil"/>
              <w:left w:val="nil"/>
              <w:bottom w:val="single" w:sz="4" w:space="0" w:color="auto"/>
              <w:right w:val="single" w:sz="4" w:space="0" w:color="auto"/>
            </w:tcBorders>
            <w:shd w:val="clear" w:color="auto" w:fill="auto"/>
            <w:noWrap/>
            <w:vAlign w:val="bottom"/>
            <w:hideMark/>
          </w:tcPr>
          <w:p w:rsidR="00806EBA" w:rsidRPr="00E6522E" w:rsidRDefault="00806EBA" w:rsidP="00E4430E">
            <w:pPr>
              <w:spacing w:after="0" w:line="240" w:lineRule="auto"/>
              <w:jc w:val="center"/>
              <w:rPr>
                <w:rFonts w:eastAsia="Times New Roman" w:cstheme="minorHAnsi"/>
                <w:bCs/>
                <w:sz w:val="18"/>
                <w:szCs w:val="18"/>
              </w:rPr>
            </w:pPr>
            <w:r w:rsidRPr="00E6522E">
              <w:rPr>
                <w:rFonts w:eastAsia="Times New Roman" w:cstheme="minorHAnsi"/>
                <w:bCs/>
                <w:sz w:val="18"/>
                <w:szCs w:val="18"/>
              </w:rPr>
              <w:t>13 402,0</w:t>
            </w:r>
          </w:p>
        </w:tc>
        <w:tc>
          <w:tcPr>
            <w:tcW w:w="740" w:type="pct"/>
            <w:tcBorders>
              <w:top w:val="nil"/>
              <w:left w:val="nil"/>
              <w:bottom w:val="single" w:sz="4" w:space="0" w:color="auto"/>
              <w:right w:val="single" w:sz="4" w:space="0" w:color="auto"/>
            </w:tcBorders>
            <w:shd w:val="clear" w:color="auto" w:fill="auto"/>
            <w:noWrap/>
            <w:vAlign w:val="bottom"/>
            <w:hideMark/>
          </w:tcPr>
          <w:p w:rsidR="00806EBA" w:rsidRPr="00E6522E" w:rsidRDefault="00806EBA" w:rsidP="00E4430E">
            <w:pPr>
              <w:spacing w:after="0" w:line="240" w:lineRule="auto"/>
              <w:jc w:val="center"/>
              <w:rPr>
                <w:rFonts w:eastAsia="Times New Roman" w:cstheme="minorHAnsi"/>
                <w:bCs/>
                <w:sz w:val="18"/>
                <w:szCs w:val="18"/>
              </w:rPr>
            </w:pPr>
            <w:r w:rsidRPr="00E6522E">
              <w:rPr>
                <w:rFonts w:eastAsia="Times New Roman" w:cstheme="minorHAnsi"/>
                <w:bCs/>
                <w:sz w:val="18"/>
                <w:szCs w:val="18"/>
              </w:rPr>
              <w:t>14 250,0</w:t>
            </w:r>
          </w:p>
        </w:tc>
        <w:tc>
          <w:tcPr>
            <w:tcW w:w="740" w:type="pct"/>
            <w:tcBorders>
              <w:top w:val="nil"/>
              <w:left w:val="nil"/>
              <w:bottom w:val="single" w:sz="4" w:space="0" w:color="auto"/>
              <w:right w:val="single" w:sz="4" w:space="0" w:color="auto"/>
            </w:tcBorders>
            <w:shd w:val="clear" w:color="auto" w:fill="auto"/>
            <w:noWrap/>
            <w:vAlign w:val="bottom"/>
            <w:hideMark/>
          </w:tcPr>
          <w:p w:rsidR="00806EBA" w:rsidRPr="00E6522E" w:rsidRDefault="00806EBA" w:rsidP="00E4430E">
            <w:pPr>
              <w:spacing w:after="0" w:line="240" w:lineRule="auto"/>
              <w:jc w:val="center"/>
              <w:rPr>
                <w:rFonts w:eastAsia="Times New Roman" w:cstheme="minorHAnsi"/>
                <w:bCs/>
                <w:sz w:val="18"/>
                <w:szCs w:val="18"/>
              </w:rPr>
            </w:pPr>
            <w:r w:rsidRPr="00E6522E">
              <w:rPr>
                <w:rFonts w:eastAsia="Times New Roman" w:cstheme="minorHAnsi"/>
                <w:bCs/>
                <w:sz w:val="18"/>
                <w:szCs w:val="18"/>
              </w:rPr>
              <w:t>15 340,0</w:t>
            </w:r>
          </w:p>
        </w:tc>
        <w:tc>
          <w:tcPr>
            <w:tcW w:w="741" w:type="pct"/>
            <w:tcBorders>
              <w:top w:val="nil"/>
              <w:left w:val="nil"/>
              <w:bottom w:val="single" w:sz="4" w:space="0" w:color="auto"/>
              <w:right w:val="single" w:sz="4" w:space="0" w:color="auto"/>
            </w:tcBorders>
            <w:shd w:val="clear" w:color="000000" w:fill="FDE9D9"/>
            <w:noWrap/>
            <w:vAlign w:val="bottom"/>
            <w:hideMark/>
          </w:tcPr>
          <w:p w:rsidR="00806EBA" w:rsidRPr="00E6522E" w:rsidRDefault="00806EBA" w:rsidP="00E4430E">
            <w:pPr>
              <w:spacing w:after="0" w:line="240" w:lineRule="auto"/>
              <w:jc w:val="center"/>
              <w:rPr>
                <w:rFonts w:eastAsia="Times New Roman" w:cstheme="minorHAnsi"/>
                <w:sz w:val="18"/>
                <w:szCs w:val="18"/>
              </w:rPr>
            </w:pPr>
          </w:p>
        </w:tc>
      </w:tr>
      <w:tr w:rsidR="00806EBA" w:rsidRPr="00E6522E" w:rsidTr="004061D7">
        <w:trPr>
          <w:gridAfter w:val="1"/>
          <w:wAfter w:w="5" w:type="pct"/>
          <w:trHeight w:val="288"/>
        </w:trPr>
        <w:tc>
          <w:tcPr>
            <w:tcW w:w="1294" w:type="pct"/>
            <w:tcBorders>
              <w:top w:val="nil"/>
              <w:left w:val="single" w:sz="4" w:space="0" w:color="auto"/>
              <w:bottom w:val="single" w:sz="4" w:space="0" w:color="auto"/>
              <w:right w:val="single" w:sz="4" w:space="0" w:color="auto"/>
            </w:tcBorders>
            <w:shd w:val="clear" w:color="auto" w:fill="auto"/>
            <w:vAlign w:val="bottom"/>
            <w:hideMark/>
          </w:tcPr>
          <w:p w:rsidR="00806EBA" w:rsidRPr="00E6522E" w:rsidRDefault="00806EBA" w:rsidP="00806EBA">
            <w:pPr>
              <w:spacing w:after="0" w:line="240" w:lineRule="auto"/>
              <w:ind w:firstLineChars="100" w:firstLine="180"/>
              <w:rPr>
                <w:rFonts w:eastAsia="Times New Roman" w:cstheme="minorHAnsi"/>
                <w:sz w:val="18"/>
                <w:szCs w:val="18"/>
              </w:rPr>
            </w:pPr>
            <w:r w:rsidRPr="00E6522E">
              <w:rPr>
                <w:rFonts w:eastAsia="Times New Roman" w:cstheme="minorHAnsi"/>
                <w:sz w:val="18"/>
                <w:szCs w:val="18"/>
              </w:rPr>
              <w:t xml:space="preserve">2020-2023 </w:t>
            </w:r>
            <w:r w:rsidR="00A21683" w:rsidRPr="00E6522E">
              <w:rPr>
                <w:rFonts w:eastAsia="Times New Roman" w:cstheme="minorHAnsi"/>
                <w:sz w:val="18"/>
                <w:szCs w:val="18"/>
              </w:rPr>
              <w:t>Forecast</w:t>
            </w:r>
          </w:p>
        </w:tc>
        <w:tc>
          <w:tcPr>
            <w:tcW w:w="740" w:type="pct"/>
            <w:tcBorders>
              <w:top w:val="nil"/>
              <w:left w:val="nil"/>
              <w:bottom w:val="single" w:sz="4" w:space="0" w:color="auto"/>
              <w:right w:val="single" w:sz="4" w:space="0" w:color="auto"/>
            </w:tcBorders>
            <w:shd w:val="clear" w:color="auto" w:fill="auto"/>
            <w:noWrap/>
            <w:vAlign w:val="bottom"/>
            <w:hideMark/>
          </w:tcPr>
          <w:p w:rsidR="00806EBA" w:rsidRPr="00E6522E" w:rsidRDefault="00806EBA" w:rsidP="00E4430E">
            <w:pPr>
              <w:spacing w:after="0" w:line="240" w:lineRule="auto"/>
              <w:jc w:val="center"/>
              <w:rPr>
                <w:rFonts w:eastAsia="Times New Roman" w:cstheme="minorHAnsi"/>
                <w:bCs/>
                <w:sz w:val="18"/>
                <w:szCs w:val="18"/>
              </w:rPr>
            </w:pPr>
            <w:r w:rsidRPr="00E6522E">
              <w:rPr>
                <w:rFonts w:eastAsia="Times New Roman" w:cstheme="minorHAnsi"/>
                <w:bCs/>
                <w:sz w:val="18"/>
                <w:szCs w:val="18"/>
              </w:rPr>
              <w:t>12 705,0</w:t>
            </w:r>
          </w:p>
        </w:tc>
        <w:tc>
          <w:tcPr>
            <w:tcW w:w="740" w:type="pct"/>
            <w:tcBorders>
              <w:top w:val="nil"/>
              <w:left w:val="nil"/>
              <w:bottom w:val="single" w:sz="4" w:space="0" w:color="auto"/>
              <w:right w:val="single" w:sz="4" w:space="0" w:color="auto"/>
            </w:tcBorders>
            <w:shd w:val="clear" w:color="auto" w:fill="auto"/>
            <w:noWrap/>
            <w:vAlign w:val="bottom"/>
            <w:hideMark/>
          </w:tcPr>
          <w:p w:rsidR="00806EBA" w:rsidRPr="00E6522E" w:rsidRDefault="00806EBA" w:rsidP="00E4430E">
            <w:pPr>
              <w:spacing w:after="0" w:line="240" w:lineRule="auto"/>
              <w:jc w:val="center"/>
              <w:rPr>
                <w:rFonts w:eastAsia="Times New Roman" w:cstheme="minorHAnsi"/>
                <w:bCs/>
                <w:sz w:val="18"/>
                <w:szCs w:val="18"/>
              </w:rPr>
            </w:pPr>
            <w:r w:rsidRPr="00E6522E">
              <w:rPr>
                <w:rFonts w:eastAsia="Times New Roman" w:cstheme="minorHAnsi"/>
                <w:bCs/>
                <w:sz w:val="18"/>
                <w:szCs w:val="18"/>
              </w:rPr>
              <w:t>13 612,0</w:t>
            </w:r>
          </w:p>
        </w:tc>
        <w:tc>
          <w:tcPr>
            <w:tcW w:w="740" w:type="pct"/>
            <w:tcBorders>
              <w:top w:val="nil"/>
              <w:left w:val="nil"/>
              <w:bottom w:val="single" w:sz="4" w:space="0" w:color="auto"/>
              <w:right w:val="single" w:sz="4" w:space="0" w:color="auto"/>
            </w:tcBorders>
            <w:shd w:val="clear" w:color="auto" w:fill="auto"/>
            <w:noWrap/>
            <w:vAlign w:val="bottom"/>
            <w:hideMark/>
          </w:tcPr>
          <w:p w:rsidR="00806EBA" w:rsidRPr="00E6522E" w:rsidRDefault="00806EBA" w:rsidP="00E4430E">
            <w:pPr>
              <w:spacing w:after="0" w:line="240" w:lineRule="auto"/>
              <w:jc w:val="center"/>
              <w:rPr>
                <w:rFonts w:eastAsia="Times New Roman" w:cstheme="minorHAnsi"/>
                <w:bCs/>
                <w:sz w:val="18"/>
                <w:szCs w:val="18"/>
              </w:rPr>
            </w:pPr>
            <w:r w:rsidRPr="00E6522E">
              <w:rPr>
                <w:rFonts w:eastAsia="Times New Roman" w:cstheme="minorHAnsi"/>
                <w:bCs/>
                <w:sz w:val="18"/>
                <w:szCs w:val="18"/>
              </w:rPr>
              <w:t>14 751,0</w:t>
            </w:r>
          </w:p>
        </w:tc>
        <w:tc>
          <w:tcPr>
            <w:tcW w:w="740" w:type="pct"/>
            <w:tcBorders>
              <w:top w:val="nil"/>
              <w:left w:val="nil"/>
              <w:bottom w:val="single" w:sz="4" w:space="0" w:color="auto"/>
              <w:right w:val="single" w:sz="4" w:space="0" w:color="auto"/>
            </w:tcBorders>
            <w:shd w:val="clear" w:color="auto" w:fill="auto"/>
            <w:noWrap/>
            <w:vAlign w:val="bottom"/>
            <w:hideMark/>
          </w:tcPr>
          <w:p w:rsidR="00806EBA" w:rsidRPr="00E6522E" w:rsidRDefault="00806EBA" w:rsidP="00E4430E">
            <w:pPr>
              <w:spacing w:after="0" w:line="240" w:lineRule="auto"/>
              <w:jc w:val="center"/>
              <w:rPr>
                <w:rFonts w:eastAsia="Times New Roman" w:cstheme="minorHAnsi"/>
                <w:bCs/>
                <w:sz w:val="18"/>
                <w:szCs w:val="18"/>
              </w:rPr>
            </w:pPr>
            <w:r w:rsidRPr="00E6522E">
              <w:rPr>
                <w:rFonts w:eastAsia="Times New Roman" w:cstheme="minorHAnsi"/>
                <w:bCs/>
                <w:sz w:val="18"/>
                <w:szCs w:val="18"/>
              </w:rPr>
              <w:t>15 805,0</w:t>
            </w:r>
          </w:p>
        </w:tc>
        <w:tc>
          <w:tcPr>
            <w:tcW w:w="741" w:type="pct"/>
            <w:tcBorders>
              <w:top w:val="nil"/>
              <w:left w:val="nil"/>
              <w:bottom w:val="single" w:sz="4" w:space="0" w:color="auto"/>
              <w:right w:val="single" w:sz="4" w:space="0" w:color="auto"/>
            </w:tcBorders>
            <w:shd w:val="clear" w:color="000000" w:fill="FDE9D9"/>
            <w:noWrap/>
            <w:vAlign w:val="bottom"/>
            <w:hideMark/>
          </w:tcPr>
          <w:p w:rsidR="00806EBA" w:rsidRPr="00E6522E" w:rsidRDefault="00806EBA" w:rsidP="00E4430E">
            <w:pPr>
              <w:spacing w:after="0" w:line="240" w:lineRule="auto"/>
              <w:jc w:val="center"/>
              <w:rPr>
                <w:rFonts w:eastAsia="Times New Roman" w:cstheme="minorHAnsi"/>
                <w:bCs/>
                <w:sz w:val="18"/>
                <w:szCs w:val="18"/>
              </w:rPr>
            </w:pPr>
            <w:r w:rsidRPr="00E6522E">
              <w:rPr>
                <w:rFonts w:eastAsia="Times New Roman" w:cstheme="minorHAnsi"/>
                <w:bCs/>
                <w:sz w:val="18"/>
                <w:szCs w:val="18"/>
              </w:rPr>
              <w:t>17 056,0</w:t>
            </w:r>
          </w:p>
        </w:tc>
      </w:tr>
      <w:tr w:rsidR="00806EBA" w:rsidRPr="00E6522E" w:rsidTr="004061D7">
        <w:trPr>
          <w:gridAfter w:val="1"/>
          <w:wAfter w:w="5" w:type="pct"/>
          <w:trHeight w:val="288"/>
        </w:trPr>
        <w:tc>
          <w:tcPr>
            <w:tcW w:w="1294" w:type="pct"/>
            <w:tcBorders>
              <w:top w:val="nil"/>
              <w:left w:val="single" w:sz="4" w:space="0" w:color="auto"/>
              <w:bottom w:val="single" w:sz="4" w:space="0" w:color="auto"/>
              <w:right w:val="single" w:sz="4" w:space="0" w:color="auto"/>
            </w:tcBorders>
            <w:shd w:val="clear" w:color="auto" w:fill="auto"/>
            <w:noWrap/>
            <w:vAlign w:val="bottom"/>
            <w:hideMark/>
          </w:tcPr>
          <w:p w:rsidR="00806EBA" w:rsidRPr="00E6522E" w:rsidRDefault="00A21683" w:rsidP="00806EBA">
            <w:pPr>
              <w:spacing w:after="0" w:line="240" w:lineRule="auto"/>
              <w:ind w:firstLineChars="100" w:firstLine="180"/>
              <w:rPr>
                <w:rFonts w:eastAsia="Times New Roman" w:cstheme="minorHAnsi"/>
                <w:sz w:val="18"/>
                <w:szCs w:val="18"/>
              </w:rPr>
            </w:pPr>
            <w:r w:rsidRPr="00E6522E">
              <w:rPr>
                <w:rFonts w:eastAsia="Times New Roman" w:cstheme="minorHAnsi"/>
                <w:sz w:val="18"/>
                <w:szCs w:val="18"/>
              </w:rPr>
              <w:t>Difference</w:t>
            </w:r>
          </w:p>
        </w:tc>
        <w:tc>
          <w:tcPr>
            <w:tcW w:w="740" w:type="pct"/>
            <w:tcBorders>
              <w:top w:val="nil"/>
              <w:left w:val="nil"/>
              <w:bottom w:val="single" w:sz="4" w:space="0" w:color="auto"/>
              <w:right w:val="single" w:sz="4" w:space="0" w:color="auto"/>
            </w:tcBorders>
            <w:shd w:val="clear" w:color="auto" w:fill="auto"/>
            <w:noWrap/>
            <w:vAlign w:val="bottom"/>
            <w:hideMark/>
          </w:tcPr>
          <w:p w:rsidR="00806EBA" w:rsidRPr="00E6522E" w:rsidRDefault="00806EBA" w:rsidP="00E4430E">
            <w:pPr>
              <w:spacing w:after="0" w:line="240" w:lineRule="auto"/>
              <w:jc w:val="center"/>
              <w:rPr>
                <w:rFonts w:eastAsia="Times New Roman" w:cstheme="minorHAnsi"/>
                <w:bCs/>
                <w:sz w:val="18"/>
                <w:szCs w:val="18"/>
              </w:rPr>
            </w:pPr>
            <w:r w:rsidRPr="00E6522E">
              <w:rPr>
                <w:rFonts w:eastAsia="Times New Roman" w:cstheme="minorHAnsi"/>
                <w:bCs/>
                <w:sz w:val="18"/>
                <w:szCs w:val="18"/>
              </w:rPr>
              <w:t>127,0</w:t>
            </w:r>
          </w:p>
        </w:tc>
        <w:tc>
          <w:tcPr>
            <w:tcW w:w="740" w:type="pct"/>
            <w:tcBorders>
              <w:top w:val="nil"/>
              <w:left w:val="nil"/>
              <w:bottom w:val="single" w:sz="4" w:space="0" w:color="auto"/>
              <w:right w:val="single" w:sz="4" w:space="0" w:color="auto"/>
            </w:tcBorders>
            <w:shd w:val="clear" w:color="auto" w:fill="auto"/>
            <w:noWrap/>
            <w:vAlign w:val="bottom"/>
            <w:hideMark/>
          </w:tcPr>
          <w:p w:rsidR="00806EBA" w:rsidRPr="00E6522E" w:rsidRDefault="00806EBA" w:rsidP="00E4430E">
            <w:pPr>
              <w:spacing w:after="0" w:line="240" w:lineRule="auto"/>
              <w:jc w:val="center"/>
              <w:rPr>
                <w:rFonts w:eastAsia="Times New Roman" w:cstheme="minorHAnsi"/>
                <w:bCs/>
                <w:sz w:val="18"/>
                <w:szCs w:val="18"/>
              </w:rPr>
            </w:pPr>
            <w:r w:rsidRPr="00E6522E">
              <w:rPr>
                <w:rFonts w:eastAsia="Times New Roman" w:cstheme="minorHAnsi"/>
                <w:bCs/>
                <w:sz w:val="18"/>
                <w:szCs w:val="18"/>
              </w:rPr>
              <w:t>210,0</w:t>
            </w:r>
          </w:p>
        </w:tc>
        <w:tc>
          <w:tcPr>
            <w:tcW w:w="740" w:type="pct"/>
            <w:tcBorders>
              <w:top w:val="nil"/>
              <w:left w:val="nil"/>
              <w:bottom w:val="single" w:sz="4" w:space="0" w:color="auto"/>
              <w:right w:val="single" w:sz="4" w:space="0" w:color="auto"/>
            </w:tcBorders>
            <w:shd w:val="clear" w:color="auto" w:fill="auto"/>
            <w:noWrap/>
            <w:vAlign w:val="bottom"/>
            <w:hideMark/>
          </w:tcPr>
          <w:p w:rsidR="00806EBA" w:rsidRPr="00E6522E" w:rsidRDefault="00806EBA" w:rsidP="00E4430E">
            <w:pPr>
              <w:spacing w:after="0" w:line="240" w:lineRule="auto"/>
              <w:jc w:val="center"/>
              <w:rPr>
                <w:rFonts w:eastAsia="Times New Roman" w:cstheme="minorHAnsi"/>
                <w:bCs/>
                <w:sz w:val="18"/>
                <w:szCs w:val="18"/>
              </w:rPr>
            </w:pPr>
            <w:r w:rsidRPr="00E6522E">
              <w:rPr>
                <w:rFonts w:eastAsia="Times New Roman" w:cstheme="minorHAnsi"/>
                <w:bCs/>
                <w:sz w:val="18"/>
                <w:szCs w:val="18"/>
              </w:rPr>
              <w:t>501,0</w:t>
            </w:r>
          </w:p>
        </w:tc>
        <w:tc>
          <w:tcPr>
            <w:tcW w:w="740" w:type="pct"/>
            <w:tcBorders>
              <w:top w:val="nil"/>
              <w:left w:val="nil"/>
              <w:bottom w:val="single" w:sz="4" w:space="0" w:color="auto"/>
              <w:right w:val="single" w:sz="4" w:space="0" w:color="auto"/>
            </w:tcBorders>
            <w:shd w:val="clear" w:color="auto" w:fill="auto"/>
            <w:noWrap/>
            <w:vAlign w:val="bottom"/>
            <w:hideMark/>
          </w:tcPr>
          <w:p w:rsidR="00806EBA" w:rsidRPr="00E6522E" w:rsidRDefault="00806EBA" w:rsidP="00E4430E">
            <w:pPr>
              <w:spacing w:after="0" w:line="240" w:lineRule="auto"/>
              <w:jc w:val="center"/>
              <w:rPr>
                <w:rFonts w:eastAsia="Times New Roman" w:cstheme="minorHAnsi"/>
                <w:bCs/>
                <w:sz w:val="18"/>
                <w:szCs w:val="18"/>
              </w:rPr>
            </w:pPr>
            <w:r w:rsidRPr="00E6522E">
              <w:rPr>
                <w:rFonts w:eastAsia="Times New Roman" w:cstheme="minorHAnsi"/>
                <w:bCs/>
                <w:sz w:val="18"/>
                <w:szCs w:val="18"/>
              </w:rPr>
              <w:t>465,0</w:t>
            </w:r>
          </w:p>
        </w:tc>
        <w:tc>
          <w:tcPr>
            <w:tcW w:w="741" w:type="pct"/>
            <w:tcBorders>
              <w:top w:val="nil"/>
              <w:left w:val="nil"/>
              <w:bottom w:val="single" w:sz="4" w:space="0" w:color="auto"/>
              <w:right w:val="single" w:sz="4" w:space="0" w:color="auto"/>
            </w:tcBorders>
            <w:shd w:val="clear" w:color="000000" w:fill="FDE9D9"/>
            <w:noWrap/>
            <w:vAlign w:val="bottom"/>
            <w:hideMark/>
          </w:tcPr>
          <w:p w:rsidR="00806EBA" w:rsidRPr="00E6522E" w:rsidRDefault="00806EBA" w:rsidP="00E4430E">
            <w:pPr>
              <w:spacing w:after="0" w:line="240" w:lineRule="auto"/>
              <w:jc w:val="center"/>
              <w:rPr>
                <w:rFonts w:eastAsia="Times New Roman" w:cstheme="minorHAnsi"/>
                <w:sz w:val="18"/>
                <w:szCs w:val="18"/>
              </w:rPr>
            </w:pPr>
          </w:p>
        </w:tc>
      </w:tr>
      <w:tr w:rsidR="00E4430E" w:rsidRPr="00E6522E" w:rsidTr="001D7123">
        <w:trPr>
          <w:trHeight w:val="288"/>
        </w:trPr>
        <w:tc>
          <w:tcPr>
            <w:tcW w:w="5000" w:type="pct"/>
            <w:gridSpan w:val="7"/>
            <w:tcBorders>
              <w:top w:val="nil"/>
              <w:left w:val="single" w:sz="4" w:space="0" w:color="auto"/>
              <w:bottom w:val="single" w:sz="4" w:space="0" w:color="auto"/>
              <w:right w:val="single" w:sz="4" w:space="0" w:color="auto"/>
            </w:tcBorders>
            <w:shd w:val="clear" w:color="auto" w:fill="auto"/>
            <w:noWrap/>
            <w:vAlign w:val="bottom"/>
            <w:hideMark/>
          </w:tcPr>
          <w:p w:rsidR="00E4430E" w:rsidRPr="00E6522E" w:rsidRDefault="00E4430E" w:rsidP="00806EBA">
            <w:pPr>
              <w:spacing w:after="0" w:line="240" w:lineRule="auto"/>
              <w:rPr>
                <w:rFonts w:eastAsia="Times New Roman" w:cstheme="minorHAnsi"/>
                <w:sz w:val="18"/>
                <w:szCs w:val="18"/>
              </w:rPr>
            </w:pPr>
            <w:r w:rsidRPr="00E6522E">
              <w:rPr>
                <w:rFonts w:eastAsia="Times New Roman" w:cstheme="minorHAnsi"/>
                <w:sz w:val="18"/>
                <w:szCs w:val="18"/>
              </w:rPr>
              <w:t>  </w:t>
            </w:r>
          </w:p>
        </w:tc>
      </w:tr>
      <w:tr w:rsidR="00E4430E" w:rsidRPr="00E6522E" w:rsidTr="001D7123">
        <w:trPr>
          <w:gridAfter w:val="1"/>
          <w:wAfter w:w="5" w:type="pct"/>
          <w:trHeight w:val="288"/>
        </w:trPr>
        <w:tc>
          <w:tcPr>
            <w:tcW w:w="1294" w:type="pct"/>
            <w:tcBorders>
              <w:top w:val="nil"/>
              <w:left w:val="single" w:sz="4" w:space="0" w:color="auto"/>
              <w:bottom w:val="single" w:sz="4" w:space="0" w:color="auto"/>
              <w:right w:val="single" w:sz="4" w:space="0" w:color="auto"/>
            </w:tcBorders>
            <w:shd w:val="clear" w:color="000000" w:fill="FDE9D9"/>
            <w:vAlign w:val="bottom"/>
            <w:hideMark/>
          </w:tcPr>
          <w:p w:rsidR="00E4430E" w:rsidRPr="00E6522E" w:rsidRDefault="001D7123" w:rsidP="00806EBA">
            <w:pPr>
              <w:spacing w:after="0" w:line="240" w:lineRule="auto"/>
              <w:rPr>
                <w:rFonts w:eastAsia="Times New Roman" w:cstheme="minorHAnsi"/>
                <w:b/>
                <w:bCs/>
                <w:sz w:val="18"/>
                <w:szCs w:val="18"/>
              </w:rPr>
            </w:pPr>
            <w:r w:rsidRPr="00E6522E">
              <w:rPr>
                <w:rFonts w:eastAsia="Times New Roman" w:cstheme="minorHAnsi"/>
                <w:b/>
                <w:bCs/>
                <w:sz w:val="18"/>
                <w:szCs w:val="18"/>
              </w:rPr>
              <w:t>Decrease in Non-Financial Assets</w:t>
            </w:r>
          </w:p>
        </w:tc>
        <w:tc>
          <w:tcPr>
            <w:tcW w:w="3701" w:type="pct"/>
            <w:gridSpan w:val="5"/>
            <w:tcBorders>
              <w:top w:val="nil"/>
              <w:left w:val="nil"/>
              <w:bottom w:val="single" w:sz="4" w:space="0" w:color="auto"/>
              <w:right w:val="single" w:sz="4" w:space="0" w:color="auto"/>
            </w:tcBorders>
            <w:shd w:val="clear" w:color="000000" w:fill="FDE9D9"/>
            <w:noWrap/>
            <w:vAlign w:val="bottom"/>
          </w:tcPr>
          <w:p w:rsidR="00E4430E" w:rsidRPr="00E6522E" w:rsidRDefault="00E4430E" w:rsidP="00806EBA">
            <w:pPr>
              <w:spacing w:after="0" w:line="240" w:lineRule="auto"/>
              <w:rPr>
                <w:rFonts w:eastAsia="Times New Roman" w:cstheme="minorHAnsi"/>
                <w:sz w:val="18"/>
                <w:szCs w:val="18"/>
              </w:rPr>
            </w:pPr>
          </w:p>
        </w:tc>
      </w:tr>
      <w:tr w:rsidR="00806EBA" w:rsidRPr="00E6522E" w:rsidTr="004061D7">
        <w:trPr>
          <w:gridAfter w:val="1"/>
          <w:wAfter w:w="5" w:type="pct"/>
          <w:trHeight w:val="288"/>
        </w:trPr>
        <w:tc>
          <w:tcPr>
            <w:tcW w:w="1294" w:type="pct"/>
            <w:tcBorders>
              <w:top w:val="nil"/>
              <w:left w:val="single" w:sz="4" w:space="0" w:color="auto"/>
              <w:bottom w:val="single" w:sz="4" w:space="0" w:color="auto"/>
              <w:right w:val="single" w:sz="4" w:space="0" w:color="auto"/>
            </w:tcBorders>
            <w:shd w:val="clear" w:color="auto" w:fill="auto"/>
            <w:vAlign w:val="bottom"/>
            <w:hideMark/>
          </w:tcPr>
          <w:p w:rsidR="00806EBA" w:rsidRPr="00E6522E" w:rsidRDefault="00806EBA" w:rsidP="00806EBA">
            <w:pPr>
              <w:spacing w:after="0" w:line="240" w:lineRule="auto"/>
              <w:ind w:firstLineChars="100" w:firstLine="180"/>
              <w:rPr>
                <w:rFonts w:eastAsia="Times New Roman" w:cstheme="minorHAnsi"/>
                <w:sz w:val="18"/>
                <w:szCs w:val="18"/>
              </w:rPr>
            </w:pPr>
            <w:r w:rsidRPr="00E6522E">
              <w:rPr>
                <w:rFonts w:eastAsia="Times New Roman" w:cstheme="minorHAnsi"/>
                <w:sz w:val="18"/>
                <w:szCs w:val="18"/>
              </w:rPr>
              <w:t xml:space="preserve">2019-2022 </w:t>
            </w:r>
            <w:r w:rsidR="00A21683" w:rsidRPr="00E6522E">
              <w:rPr>
                <w:rFonts w:eastAsia="Times New Roman" w:cstheme="minorHAnsi"/>
                <w:sz w:val="18"/>
                <w:szCs w:val="18"/>
              </w:rPr>
              <w:t>Forecast</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150,0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130,0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130,0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130,0</w:t>
            </w:r>
          </w:p>
        </w:tc>
        <w:tc>
          <w:tcPr>
            <w:tcW w:w="741" w:type="pct"/>
            <w:tcBorders>
              <w:top w:val="nil"/>
              <w:left w:val="nil"/>
              <w:bottom w:val="single" w:sz="4" w:space="0" w:color="auto"/>
              <w:right w:val="single" w:sz="4" w:space="0" w:color="auto"/>
            </w:tcBorders>
            <w:shd w:val="clear" w:color="000000" w:fill="FDE9D9"/>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 </w:t>
            </w:r>
          </w:p>
        </w:tc>
      </w:tr>
      <w:tr w:rsidR="00806EBA" w:rsidRPr="00E6522E" w:rsidTr="004061D7">
        <w:trPr>
          <w:gridAfter w:val="1"/>
          <w:wAfter w:w="5" w:type="pct"/>
          <w:trHeight w:val="288"/>
        </w:trPr>
        <w:tc>
          <w:tcPr>
            <w:tcW w:w="1294" w:type="pct"/>
            <w:tcBorders>
              <w:top w:val="nil"/>
              <w:left w:val="single" w:sz="4" w:space="0" w:color="auto"/>
              <w:bottom w:val="single" w:sz="4" w:space="0" w:color="auto"/>
              <w:right w:val="single" w:sz="4" w:space="0" w:color="auto"/>
            </w:tcBorders>
            <w:shd w:val="clear" w:color="auto" w:fill="auto"/>
            <w:vAlign w:val="bottom"/>
            <w:hideMark/>
          </w:tcPr>
          <w:p w:rsidR="00806EBA" w:rsidRPr="00E6522E" w:rsidRDefault="00806EBA" w:rsidP="00806EBA">
            <w:pPr>
              <w:spacing w:after="0" w:line="240" w:lineRule="auto"/>
              <w:ind w:firstLineChars="100" w:firstLine="180"/>
              <w:rPr>
                <w:rFonts w:eastAsia="Times New Roman" w:cstheme="minorHAnsi"/>
                <w:sz w:val="18"/>
                <w:szCs w:val="18"/>
              </w:rPr>
            </w:pPr>
            <w:r w:rsidRPr="00E6522E">
              <w:rPr>
                <w:rFonts w:eastAsia="Times New Roman" w:cstheme="minorHAnsi"/>
                <w:sz w:val="18"/>
                <w:szCs w:val="18"/>
              </w:rPr>
              <w:t xml:space="preserve">2020-2023 </w:t>
            </w:r>
            <w:r w:rsidR="00A21683" w:rsidRPr="00E6522E">
              <w:rPr>
                <w:rFonts w:eastAsia="Times New Roman" w:cstheme="minorHAnsi"/>
                <w:sz w:val="18"/>
                <w:szCs w:val="18"/>
              </w:rPr>
              <w:t>Forecast</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160,0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230,0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200,0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217,0</w:t>
            </w:r>
          </w:p>
        </w:tc>
        <w:tc>
          <w:tcPr>
            <w:tcW w:w="741" w:type="pct"/>
            <w:tcBorders>
              <w:top w:val="nil"/>
              <w:left w:val="nil"/>
              <w:bottom w:val="single" w:sz="4" w:space="0" w:color="auto"/>
              <w:right w:val="single" w:sz="4" w:space="0" w:color="auto"/>
            </w:tcBorders>
            <w:shd w:val="clear" w:color="000000" w:fill="FDE9D9"/>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235,0</w:t>
            </w:r>
          </w:p>
        </w:tc>
      </w:tr>
      <w:tr w:rsidR="00806EBA" w:rsidRPr="00E6522E" w:rsidTr="004061D7">
        <w:trPr>
          <w:gridAfter w:val="1"/>
          <w:wAfter w:w="5" w:type="pct"/>
          <w:trHeight w:val="288"/>
        </w:trPr>
        <w:tc>
          <w:tcPr>
            <w:tcW w:w="1294" w:type="pct"/>
            <w:tcBorders>
              <w:top w:val="nil"/>
              <w:left w:val="single" w:sz="4" w:space="0" w:color="auto"/>
              <w:bottom w:val="single" w:sz="4" w:space="0" w:color="auto"/>
              <w:right w:val="single" w:sz="4" w:space="0" w:color="auto"/>
            </w:tcBorders>
            <w:shd w:val="clear" w:color="auto" w:fill="auto"/>
            <w:noWrap/>
            <w:vAlign w:val="bottom"/>
            <w:hideMark/>
          </w:tcPr>
          <w:p w:rsidR="00806EBA" w:rsidRPr="00E6522E" w:rsidRDefault="00A21683" w:rsidP="00806EBA">
            <w:pPr>
              <w:spacing w:after="0" w:line="240" w:lineRule="auto"/>
              <w:ind w:firstLineChars="100" w:firstLine="180"/>
              <w:rPr>
                <w:rFonts w:eastAsia="Times New Roman" w:cstheme="minorHAnsi"/>
                <w:sz w:val="18"/>
                <w:szCs w:val="18"/>
              </w:rPr>
            </w:pPr>
            <w:r w:rsidRPr="00E6522E">
              <w:rPr>
                <w:rFonts w:eastAsia="Times New Roman" w:cstheme="minorHAnsi"/>
                <w:sz w:val="18"/>
                <w:szCs w:val="18"/>
              </w:rPr>
              <w:t>Difference</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10,0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100,0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70,0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87,0</w:t>
            </w:r>
          </w:p>
        </w:tc>
        <w:tc>
          <w:tcPr>
            <w:tcW w:w="741" w:type="pct"/>
            <w:tcBorders>
              <w:top w:val="nil"/>
              <w:left w:val="nil"/>
              <w:bottom w:val="single" w:sz="4" w:space="0" w:color="auto"/>
              <w:right w:val="single" w:sz="4" w:space="0" w:color="auto"/>
            </w:tcBorders>
            <w:shd w:val="clear" w:color="000000" w:fill="FDE9D9"/>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 </w:t>
            </w:r>
          </w:p>
        </w:tc>
      </w:tr>
      <w:tr w:rsidR="00E4430E" w:rsidRPr="00E6522E" w:rsidTr="001D7123">
        <w:trPr>
          <w:trHeight w:val="288"/>
        </w:trPr>
        <w:tc>
          <w:tcPr>
            <w:tcW w:w="5000" w:type="pct"/>
            <w:gridSpan w:val="7"/>
            <w:tcBorders>
              <w:top w:val="nil"/>
              <w:left w:val="single" w:sz="4" w:space="0" w:color="auto"/>
              <w:bottom w:val="single" w:sz="4" w:space="0" w:color="auto"/>
              <w:right w:val="single" w:sz="4" w:space="0" w:color="auto"/>
            </w:tcBorders>
            <w:shd w:val="clear" w:color="auto" w:fill="auto"/>
            <w:noWrap/>
            <w:vAlign w:val="bottom"/>
            <w:hideMark/>
          </w:tcPr>
          <w:p w:rsidR="00E4430E" w:rsidRPr="00E6522E" w:rsidRDefault="00E4430E" w:rsidP="00806EBA">
            <w:pPr>
              <w:spacing w:after="0" w:line="240" w:lineRule="auto"/>
              <w:rPr>
                <w:rFonts w:eastAsia="Times New Roman" w:cstheme="minorHAnsi"/>
                <w:sz w:val="18"/>
                <w:szCs w:val="18"/>
              </w:rPr>
            </w:pPr>
          </w:p>
        </w:tc>
      </w:tr>
      <w:tr w:rsidR="00E4430E" w:rsidRPr="00E6522E" w:rsidTr="004061D7">
        <w:trPr>
          <w:gridAfter w:val="1"/>
          <w:wAfter w:w="5" w:type="pct"/>
          <w:trHeight w:val="422"/>
        </w:trPr>
        <w:tc>
          <w:tcPr>
            <w:tcW w:w="1294" w:type="pct"/>
            <w:tcBorders>
              <w:top w:val="nil"/>
              <w:left w:val="single" w:sz="4" w:space="0" w:color="auto"/>
              <w:bottom w:val="single" w:sz="4" w:space="0" w:color="auto"/>
              <w:right w:val="single" w:sz="4" w:space="0" w:color="auto"/>
            </w:tcBorders>
            <w:shd w:val="clear" w:color="000000" w:fill="FDE9D9"/>
            <w:vAlign w:val="bottom"/>
            <w:hideMark/>
          </w:tcPr>
          <w:p w:rsidR="00E4430E" w:rsidRPr="00E6522E" w:rsidRDefault="001D7123" w:rsidP="001D7123">
            <w:pPr>
              <w:spacing w:after="0" w:line="240" w:lineRule="auto"/>
              <w:rPr>
                <w:rFonts w:eastAsia="Times New Roman" w:cstheme="minorHAnsi"/>
                <w:b/>
                <w:bCs/>
                <w:sz w:val="18"/>
                <w:szCs w:val="18"/>
              </w:rPr>
            </w:pPr>
            <w:r w:rsidRPr="00E6522E">
              <w:rPr>
                <w:rFonts w:eastAsia="Times New Roman" w:cstheme="minorHAnsi"/>
                <w:b/>
                <w:bCs/>
                <w:sz w:val="18"/>
                <w:szCs w:val="18"/>
              </w:rPr>
              <w:t>Decrease in Financial Assets</w:t>
            </w:r>
          </w:p>
        </w:tc>
        <w:tc>
          <w:tcPr>
            <w:tcW w:w="3701" w:type="pct"/>
            <w:gridSpan w:val="5"/>
            <w:tcBorders>
              <w:top w:val="nil"/>
              <w:left w:val="nil"/>
              <w:bottom w:val="single" w:sz="4" w:space="0" w:color="auto"/>
              <w:right w:val="single" w:sz="4" w:space="0" w:color="auto"/>
            </w:tcBorders>
            <w:shd w:val="clear" w:color="000000" w:fill="FDE9D9"/>
            <w:noWrap/>
            <w:vAlign w:val="bottom"/>
            <w:hideMark/>
          </w:tcPr>
          <w:p w:rsidR="00E4430E" w:rsidRPr="00E6522E" w:rsidRDefault="00E4430E" w:rsidP="00806EBA">
            <w:pPr>
              <w:spacing w:after="0" w:line="240" w:lineRule="auto"/>
              <w:rPr>
                <w:rFonts w:eastAsia="Times New Roman" w:cstheme="minorHAnsi"/>
                <w:sz w:val="18"/>
                <w:szCs w:val="18"/>
              </w:rPr>
            </w:pPr>
          </w:p>
          <w:p w:rsidR="00E4430E" w:rsidRPr="00E6522E" w:rsidRDefault="00E4430E" w:rsidP="00806EBA">
            <w:pPr>
              <w:spacing w:after="0" w:line="240" w:lineRule="auto"/>
              <w:rPr>
                <w:rFonts w:eastAsia="Times New Roman" w:cstheme="minorHAnsi"/>
                <w:sz w:val="18"/>
                <w:szCs w:val="18"/>
              </w:rPr>
            </w:pPr>
            <w:r w:rsidRPr="00E6522E">
              <w:rPr>
                <w:rFonts w:eastAsia="Times New Roman" w:cstheme="minorHAnsi"/>
                <w:sz w:val="18"/>
                <w:szCs w:val="18"/>
              </w:rPr>
              <w:t> </w:t>
            </w:r>
          </w:p>
        </w:tc>
      </w:tr>
      <w:tr w:rsidR="00806EBA" w:rsidRPr="00E6522E" w:rsidTr="004061D7">
        <w:trPr>
          <w:gridAfter w:val="1"/>
          <w:wAfter w:w="5" w:type="pct"/>
          <w:trHeight w:val="288"/>
        </w:trPr>
        <w:tc>
          <w:tcPr>
            <w:tcW w:w="1294" w:type="pct"/>
            <w:tcBorders>
              <w:top w:val="nil"/>
              <w:left w:val="single" w:sz="4" w:space="0" w:color="auto"/>
              <w:bottom w:val="single" w:sz="4" w:space="0" w:color="auto"/>
              <w:right w:val="single" w:sz="4" w:space="0" w:color="auto"/>
            </w:tcBorders>
            <w:shd w:val="clear" w:color="auto" w:fill="auto"/>
            <w:vAlign w:val="bottom"/>
            <w:hideMark/>
          </w:tcPr>
          <w:p w:rsidR="00806EBA" w:rsidRPr="00E6522E" w:rsidRDefault="00806EBA" w:rsidP="00806EBA">
            <w:pPr>
              <w:spacing w:after="0" w:line="240" w:lineRule="auto"/>
              <w:ind w:firstLineChars="100" w:firstLine="180"/>
              <w:rPr>
                <w:rFonts w:eastAsia="Times New Roman" w:cstheme="minorHAnsi"/>
                <w:sz w:val="18"/>
                <w:szCs w:val="18"/>
              </w:rPr>
            </w:pPr>
            <w:r w:rsidRPr="00E6522E">
              <w:rPr>
                <w:rFonts w:eastAsia="Times New Roman" w:cstheme="minorHAnsi"/>
                <w:sz w:val="18"/>
                <w:szCs w:val="18"/>
              </w:rPr>
              <w:t xml:space="preserve">2019-2022 </w:t>
            </w:r>
            <w:r w:rsidR="00A21683" w:rsidRPr="00E6522E">
              <w:rPr>
                <w:rFonts w:eastAsia="Times New Roman" w:cstheme="minorHAnsi"/>
                <w:sz w:val="18"/>
                <w:szCs w:val="18"/>
              </w:rPr>
              <w:t>Forecast</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110,0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90,0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100,0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110,0</w:t>
            </w:r>
          </w:p>
        </w:tc>
        <w:tc>
          <w:tcPr>
            <w:tcW w:w="741" w:type="pct"/>
            <w:tcBorders>
              <w:top w:val="nil"/>
              <w:left w:val="nil"/>
              <w:bottom w:val="single" w:sz="4" w:space="0" w:color="auto"/>
              <w:right w:val="single" w:sz="4" w:space="0" w:color="auto"/>
            </w:tcBorders>
            <w:shd w:val="clear" w:color="000000" w:fill="FDE9D9"/>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 </w:t>
            </w:r>
          </w:p>
        </w:tc>
      </w:tr>
      <w:tr w:rsidR="00806EBA" w:rsidRPr="00E6522E" w:rsidTr="004061D7">
        <w:trPr>
          <w:gridAfter w:val="1"/>
          <w:wAfter w:w="5" w:type="pct"/>
          <w:trHeight w:val="288"/>
        </w:trPr>
        <w:tc>
          <w:tcPr>
            <w:tcW w:w="1294" w:type="pct"/>
            <w:tcBorders>
              <w:top w:val="nil"/>
              <w:left w:val="single" w:sz="4" w:space="0" w:color="auto"/>
              <w:bottom w:val="single" w:sz="4" w:space="0" w:color="auto"/>
              <w:right w:val="single" w:sz="4" w:space="0" w:color="auto"/>
            </w:tcBorders>
            <w:shd w:val="clear" w:color="auto" w:fill="auto"/>
            <w:vAlign w:val="bottom"/>
            <w:hideMark/>
          </w:tcPr>
          <w:p w:rsidR="00806EBA" w:rsidRPr="00E6522E" w:rsidRDefault="00806EBA" w:rsidP="00806EBA">
            <w:pPr>
              <w:spacing w:after="0" w:line="240" w:lineRule="auto"/>
              <w:ind w:firstLineChars="100" w:firstLine="180"/>
              <w:rPr>
                <w:rFonts w:eastAsia="Times New Roman" w:cstheme="minorHAnsi"/>
                <w:sz w:val="18"/>
                <w:szCs w:val="18"/>
              </w:rPr>
            </w:pPr>
            <w:r w:rsidRPr="00E6522E">
              <w:rPr>
                <w:rFonts w:eastAsia="Times New Roman" w:cstheme="minorHAnsi"/>
                <w:sz w:val="18"/>
                <w:szCs w:val="18"/>
              </w:rPr>
              <w:t xml:space="preserve">2020-2023 </w:t>
            </w:r>
            <w:r w:rsidR="00A21683" w:rsidRPr="00E6522E">
              <w:rPr>
                <w:rFonts w:eastAsia="Times New Roman" w:cstheme="minorHAnsi"/>
                <w:sz w:val="18"/>
                <w:szCs w:val="18"/>
              </w:rPr>
              <w:t>Forecast</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100,0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115,0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105,0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90,0</w:t>
            </w:r>
          </w:p>
        </w:tc>
        <w:tc>
          <w:tcPr>
            <w:tcW w:w="741" w:type="pct"/>
            <w:tcBorders>
              <w:top w:val="nil"/>
              <w:left w:val="nil"/>
              <w:bottom w:val="single" w:sz="4" w:space="0" w:color="auto"/>
              <w:right w:val="single" w:sz="4" w:space="0" w:color="auto"/>
            </w:tcBorders>
            <w:shd w:val="clear" w:color="000000" w:fill="FDE9D9"/>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90,0</w:t>
            </w:r>
          </w:p>
        </w:tc>
      </w:tr>
      <w:tr w:rsidR="00806EBA" w:rsidRPr="00E6522E" w:rsidTr="004061D7">
        <w:trPr>
          <w:gridAfter w:val="1"/>
          <w:wAfter w:w="5" w:type="pct"/>
          <w:trHeight w:val="288"/>
        </w:trPr>
        <w:tc>
          <w:tcPr>
            <w:tcW w:w="1294" w:type="pct"/>
            <w:tcBorders>
              <w:top w:val="nil"/>
              <w:left w:val="single" w:sz="4" w:space="0" w:color="auto"/>
              <w:bottom w:val="single" w:sz="4" w:space="0" w:color="auto"/>
              <w:right w:val="single" w:sz="4" w:space="0" w:color="auto"/>
            </w:tcBorders>
            <w:shd w:val="clear" w:color="auto" w:fill="auto"/>
            <w:noWrap/>
            <w:vAlign w:val="bottom"/>
            <w:hideMark/>
          </w:tcPr>
          <w:p w:rsidR="00806EBA" w:rsidRPr="00E6522E" w:rsidRDefault="00A21683" w:rsidP="00806EBA">
            <w:pPr>
              <w:spacing w:after="0" w:line="240" w:lineRule="auto"/>
              <w:ind w:firstLineChars="100" w:firstLine="180"/>
              <w:rPr>
                <w:rFonts w:eastAsia="Times New Roman" w:cstheme="minorHAnsi"/>
                <w:sz w:val="18"/>
                <w:szCs w:val="18"/>
              </w:rPr>
            </w:pPr>
            <w:r w:rsidRPr="00E6522E">
              <w:rPr>
                <w:rFonts w:eastAsia="Times New Roman" w:cstheme="minorHAnsi"/>
                <w:sz w:val="18"/>
                <w:szCs w:val="18"/>
              </w:rPr>
              <w:t>Difference</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-10,0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25,0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5,0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-20,0</w:t>
            </w:r>
          </w:p>
        </w:tc>
        <w:tc>
          <w:tcPr>
            <w:tcW w:w="741" w:type="pct"/>
            <w:tcBorders>
              <w:top w:val="nil"/>
              <w:left w:val="nil"/>
              <w:bottom w:val="single" w:sz="4" w:space="0" w:color="auto"/>
              <w:right w:val="single" w:sz="4" w:space="0" w:color="auto"/>
            </w:tcBorders>
            <w:shd w:val="clear" w:color="000000" w:fill="FDE9D9"/>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90,0</w:t>
            </w:r>
          </w:p>
        </w:tc>
      </w:tr>
      <w:tr w:rsidR="00E4430E" w:rsidRPr="00E6522E" w:rsidTr="001D7123">
        <w:trPr>
          <w:trHeight w:val="288"/>
        </w:trPr>
        <w:tc>
          <w:tcPr>
            <w:tcW w:w="5000" w:type="pct"/>
            <w:gridSpan w:val="7"/>
            <w:tcBorders>
              <w:top w:val="nil"/>
              <w:left w:val="single" w:sz="4" w:space="0" w:color="auto"/>
              <w:bottom w:val="single" w:sz="4" w:space="0" w:color="auto"/>
              <w:right w:val="single" w:sz="4" w:space="0" w:color="auto"/>
            </w:tcBorders>
            <w:shd w:val="clear" w:color="auto" w:fill="auto"/>
            <w:noWrap/>
            <w:vAlign w:val="bottom"/>
            <w:hideMark/>
          </w:tcPr>
          <w:p w:rsidR="00E4430E" w:rsidRPr="00E6522E" w:rsidRDefault="00E4430E" w:rsidP="00E4430E">
            <w:pPr>
              <w:spacing w:after="0" w:line="240" w:lineRule="auto"/>
              <w:rPr>
                <w:rFonts w:eastAsia="Times New Roman" w:cstheme="minorHAnsi"/>
                <w:sz w:val="18"/>
                <w:szCs w:val="18"/>
              </w:rPr>
            </w:pPr>
            <w:r w:rsidRPr="00E6522E">
              <w:rPr>
                <w:rFonts w:eastAsia="Times New Roman" w:cstheme="minorHAnsi"/>
                <w:sz w:val="18"/>
                <w:szCs w:val="18"/>
              </w:rPr>
              <w:t> </w:t>
            </w:r>
          </w:p>
        </w:tc>
      </w:tr>
      <w:tr w:rsidR="00E4430E" w:rsidRPr="00E6522E" w:rsidTr="001D7123">
        <w:trPr>
          <w:trHeight w:val="288"/>
        </w:trPr>
        <w:tc>
          <w:tcPr>
            <w:tcW w:w="5000" w:type="pct"/>
            <w:gridSpan w:val="7"/>
            <w:tcBorders>
              <w:top w:val="nil"/>
              <w:left w:val="single" w:sz="4" w:space="0" w:color="auto"/>
              <w:bottom w:val="single" w:sz="4" w:space="0" w:color="auto"/>
              <w:right w:val="single" w:sz="4" w:space="0" w:color="auto"/>
            </w:tcBorders>
            <w:shd w:val="clear" w:color="auto" w:fill="auto"/>
            <w:noWrap/>
            <w:vAlign w:val="bottom"/>
            <w:hideMark/>
          </w:tcPr>
          <w:p w:rsidR="00E4430E" w:rsidRPr="00E6522E" w:rsidRDefault="00E4430E" w:rsidP="006D3986">
            <w:pPr>
              <w:spacing w:after="0" w:line="240" w:lineRule="auto"/>
              <w:jc w:val="center"/>
              <w:rPr>
                <w:rFonts w:eastAsia="Times New Roman" w:cstheme="minorHAnsi"/>
                <w:b/>
                <w:sz w:val="18"/>
                <w:szCs w:val="18"/>
              </w:rPr>
            </w:pPr>
            <w:r w:rsidRPr="00E6522E">
              <w:rPr>
                <w:rFonts w:eastAsia="Times New Roman" w:cstheme="minorHAnsi"/>
                <w:b/>
                <w:sz w:val="18"/>
                <w:szCs w:val="18"/>
              </w:rPr>
              <w:t xml:space="preserve">% </w:t>
            </w:r>
            <w:r w:rsidR="006D3986" w:rsidRPr="00E6522E">
              <w:rPr>
                <w:rFonts w:eastAsia="Times New Roman" w:cstheme="minorHAnsi"/>
                <w:b/>
                <w:sz w:val="18"/>
                <w:szCs w:val="18"/>
              </w:rPr>
              <w:t>of GDP</w:t>
            </w:r>
          </w:p>
        </w:tc>
      </w:tr>
      <w:tr w:rsidR="00E4430E" w:rsidRPr="00E6522E" w:rsidTr="001D7123">
        <w:trPr>
          <w:gridAfter w:val="1"/>
          <w:wAfter w:w="5" w:type="pct"/>
          <w:trHeight w:val="288"/>
        </w:trPr>
        <w:tc>
          <w:tcPr>
            <w:tcW w:w="1294" w:type="pct"/>
            <w:tcBorders>
              <w:top w:val="nil"/>
              <w:left w:val="single" w:sz="4" w:space="0" w:color="auto"/>
              <w:bottom w:val="single" w:sz="4" w:space="0" w:color="auto"/>
              <w:right w:val="single" w:sz="4" w:space="0" w:color="auto"/>
            </w:tcBorders>
            <w:shd w:val="clear" w:color="000000" w:fill="FDE9D9"/>
            <w:vAlign w:val="bottom"/>
            <w:hideMark/>
          </w:tcPr>
          <w:p w:rsidR="00E4430E" w:rsidRPr="00E6522E" w:rsidRDefault="001D7123" w:rsidP="00806EBA">
            <w:pPr>
              <w:spacing w:after="0" w:line="240" w:lineRule="auto"/>
              <w:rPr>
                <w:rFonts w:eastAsia="Times New Roman" w:cstheme="minorHAnsi"/>
                <w:b/>
                <w:bCs/>
                <w:sz w:val="18"/>
                <w:szCs w:val="18"/>
              </w:rPr>
            </w:pPr>
            <w:r w:rsidRPr="00E6522E">
              <w:rPr>
                <w:rFonts w:eastAsia="Times New Roman" w:cstheme="minorHAnsi"/>
                <w:b/>
                <w:bCs/>
                <w:sz w:val="18"/>
                <w:szCs w:val="18"/>
              </w:rPr>
              <w:t>Revenue</w:t>
            </w:r>
          </w:p>
        </w:tc>
        <w:tc>
          <w:tcPr>
            <w:tcW w:w="3701" w:type="pct"/>
            <w:gridSpan w:val="5"/>
            <w:tcBorders>
              <w:top w:val="nil"/>
              <w:left w:val="nil"/>
              <w:bottom w:val="single" w:sz="4" w:space="0" w:color="auto"/>
              <w:right w:val="single" w:sz="4" w:space="0" w:color="auto"/>
            </w:tcBorders>
            <w:shd w:val="clear" w:color="000000" w:fill="FDE9D9"/>
            <w:noWrap/>
            <w:vAlign w:val="bottom"/>
            <w:hideMark/>
          </w:tcPr>
          <w:p w:rsidR="00E4430E" w:rsidRPr="00E6522E" w:rsidRDefault="00E4430E" w:rsidP="00E4430E">
            <w:pPr>
              <w:spacing w:after="0" w:line="240" w:lineRule="auto"/>
              <w:rPr>
                <w:rFonts w:eastAsia="Times New Roman" w:cstheme="minorHAnsi"/>
                <w:sz w:val="18"/>
                <w:szCs w:val="18"/>
              </w:rPr>
            </w:pPr>
            <w:r w:rsidRPr="00E6522E">
              <w:rPr>
                <w:rFonts w:eastAsia="Times New Roman" w:cstheme="minorHAnsi"/>
                <w:sz w:val="18"/>
                <w:szCs w:val="18"/>
              </w:rPr>
              <w:t> </w:t>
            </w:r>
          </w:p>
        </w:tc>
      </w:tr>
      <w:tr w:rsidR="00806EBA" w:rsidRPr="00E6522E" w:rsidTr="004061D7">
        <w:trPr>
          <w:gridAfter w:val="1"/>
          <w:wAfter w:w="5" w:type="pct"/>
          <w:trHeight w:val="288"/>
        </w:trPr>
        <w:tc>
          <w:tcPr>
            <w:tcW w:w="1294" w:type="pct"/>
            <w:tcBorders>
              <w:top w:val="nil"/>
              <w:left w:val="single" w:sz="4" w:space="0" w:color="auto"/>
              <w:bottom w:val="single" w:sz="4" w:space="0" w:color="auto"/>
              <w:right w:val="single" w:sz="4" w:space="0" w:color="auto"/>
            </w:tcBorders>
            <w:shd w:val="clear" w:color="auto" w:fill="auto"/>
            <w:vAlign w:val="bottom"/>
            <w:hideMark/>
          </w:tcPr>
          <w:p w:rsidR="00806EBA" w:rsidRPr="00E6522E" w:rsidRDefault="00806EBA" w:rsidP="00806EBA">
            <w:pPr>
              <w:spacing w:after="0" w:line="240" w:lineRule="auto"/>
              <w:ind w:firstLineChars="100" w:firstLine="180"/>
              <w:rPr>
                <w:rFonts w:eastAsia="Times New Roman" w:cstheme="minorHAnsi"/>
                <w:sz w:val="18"/>
                <w:szCs w:val="18"/>
              </w:rPr>
            </w:pPr>
            <w:r w:rsidRPr="00E6522E">
              <w:rPr>
                <w:rFonts w:eastAsia="Times New Roman" w:cstheme="minorHAnsi"/>
                <w:sz w:val="18"/>
                <w:szCs w:val="18"/>
              </w:rPr>
              <w:t xml:space="preserve">2019-2022 </w:t>
            </w:r>
            <w:r w:rsidR="00A21683" w:rsidRPr="00E6522E">
              <w:rPr>
                <w:rFonts w:eastAsia="Times New Roman" w:cstheme="minorHAnsi"/>
                <w:sz w:val="18"/>
                <w:szCs w:val="18"/>
              </w:rPr>
              <w:t>Forecast</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28,0%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27,6%</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27,0%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26,6%</w:t>
            </w:r>
          </w:p>
        </w:tc>
        <w:tc>
          <w:tcPr>
            <w:tcW w:w="741" w:type="pct"/>
            <w:tcBorders>
              <w:top w:val="nil"/>
              <w:left w:val="nil"/>
              <w:bottom w:val="single" w:sz="4" w:space="0" w:color="auto"/>
              <w:right w:val="single" w:sz="4" w:space="0" w:color="auto"/>
            </w:tcBorders>
            <w:shd w:val="clear" w:color="000000" w:fill="FDE9D9"/>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 </w:t>
            </w:r>
          </w:p>
        </w:tc>
      </w:tr>
      <w:tr w:rsidR="00806EBA" w:rsidRPr="00E6522E" w:rsidTr="004061D7">
        <w:trPr>
          <w:gridAfter w:val="1"/>
          <w:wAfter w:w="5" w:type="pct"/>
          <w:trHeight w:val="288"/>
        </w:trPr>
        <w:tc>
          <w:tcPr>
            <w:tcW w:w="1294" w:type="pct"/>
            <w:tcBorders>
              <w:top w:val="nil"/>
              <w:left w:val="single" w:sz="4" w:space="0" w:color="auto"/>
              <w:bottom w:val="single" w:sz="4" w:space="0" w:color="auto"/>
              <w:right w:val="single" w:sz="4" w:space="0" w:color="auto"/>
            </w:tcBorders>
            <w:shd w:val="clear" w:color="auto" w:fill="auto"/>
            <w:noWrap/>
            <w:vAlign w:val="bottom"/>
            <w:hideMark/>
          </w:tcPr>
          <w:p w:rsidR="00806EBA" w:rsidRPr="00E6522E" w:rsidRDefault="00806EBA" w:rsidP="00806EBA">
            <w:pPr>
              <w:spacing w:after="0" w:line="240" w:lineRule="auto"/>
              <w:ind w:firstLineChars="100" w:firstLine="180"/>
              <w:rPr>
                <w:rFonts w:eastAsia="Times New Roman" w:cstheme="minorHAnsi"/>
                <w:sz w:val="18"/>
                <w:szCs w:val="18"/>
              </w:rPr>
            </w:pPr>
            <w:r w:rsidRPr="00E6522E">
              <w:rPr>
                <w:rFonts w:eastAsia="Times New Roman" w:cstheme="minorHAnsi"/>
                <w:sz w:val="18"/>
                <w:szCs w:val="18"/>
              </w:rPr>
              <w:t>2020-2023</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25,9%</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25,6%</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25,7%</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25,5%</w:t>
            </w:r>
          </w:p>
        </w:tc>
        <w:tc>
          <w:tcPr>
            <w:tcW w:w="741" w:type="pct"/>
            <w:tcBorders>
              <w:top w:val="nil"/>
              <w:left w:val="nil"/>
              <w:bottom w:val="single" w:sz="4" w:space="0" w:color="auto"/>
              <w:right w:val="single" w:sz="4" w:space="0" w:color="auto"/>
            </w:tcBorders>
            <w:shd w:val="clear" w:color="000000" w:fill="FDE9D9"/>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25,3%</w:t>
            </w:r>
          </w:p>
        </w:tc>
      </w:tr>
      <w:tr w:rsidR="00806EBA" w:rsidRPr="00E6522E" w:rsidTr="004061D7">
        <w:trPr>
          <w:gridAfter w:val="1"/>
          <w:wAfter w:w="5" w:type="pct"/>
          <w:trHeight w:val="288"/>
        </w:trPr>
        <w:tc>
          <w:tcPr>
            <w:tcW w:w="1294" w:type="pct"/>
            <w:tcBorders>
              <w:top w:val="nil"/>
              <w:left w:val="single" w:sz="4" w:space="0" w:color="auto"/>
              <w:bottom w:val="single" w:sz="4" w:space="0" w:color="auto"/>
              <w:right w:val="single" w:sz="4" w:space="0" w:color="auto"/>
            </w:tcBorders>
            <w:shd w:val="clear" w:color="auto" w:fill="auto"/>
            <w:noWrap/>
            <w:vAlign w:val="bottom"/>
            <w:hideMark/>
          </w:tcPr>
          <w:p w:rsidR="00806EBA" w:rsidRPr="00E6522E" w:rsidRDefault="00A21683" w:rsidP="00806EBA">
            <w:pPr>
              <w:spacing w:after="0" w:line="240" w:lineRule="auto"/>
              <w:ind w:firstLineChars="100" w:firstLine="180"/>
              <w:rPr>
                <w:rFonts w:eastAsia="Times New Roman" w:cstheme="minorHAnsi"/>
                <w:sz w:val="18"/>
                <w:szCs w:val="18"/>
              </w:rPr>
            </w:pPr>
            <w:r w:rsidRPr="00E6522E">
              <w:rPr>
                <w:rFonts w:eastAsia="Times New Roman" w:cstheme="minorHAnsi"/>
                <w:sz w:val="18"/>
                <w:szCs w:val="18"/>
              </w:rPr>
              <w:t>Difference</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-2,1%</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-1,9%</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-1,3%</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-1,2%</w:t>
            </w:r>
          </w:p>
        </w:tc>
        <w:tc>
          <w:tcPr>
            <w:tcW w:w="741" w:type="pct"/>
            <w:tcBorders>
              <w:top w:val="nil"/>
              <w:left w:val="nil"/>
              <w:bottom w:val="single" w:sz="4" w:space="0" w:color="auto"/>
              <w:right w:val="single" w:sz="4" w:space="0" w:color="auto"/>
            </w:tcBorders>
            <w:shd w:val="clear" w:color="000000" w:fill="FDE9D9"/>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 </w:t>
            </w:r>
          </w:p>
        </w:tc>
      </w:tr>
      <w:tr w:rsidR="00E4430E" w:rsidRPr="00E6522E" w:rsidTr="001D7123">
        <w:trPr>
          <w:trHeight w:val="288"/>
        </w:trPr>
        <w:tc>
          <w:tcPr>
            <w:tcW w:w="5000" w:type="pct"/>
            <w:gridSpan w:val="7"/>
            <w:tcBorders>
              <w:top w:val="nil"/>
              <w:left w:val="single" w:sz="4" w:space="0" w:color="auto"/>
              <w:bottom w:val="single" w:sz="4" w:space="0" w:color="auto"/>
              <w:right w:val="single" w:sz="4" w:space="0" w:color="auto"/>
            </w:tcBorders>
            <w:shd w:val="clear" w:color="auto" w:fill="auto"/>
            <w:noWrap/>
            <w:vAlign w:val="bottom"/>
            <w:hideMark/>
          </w:tcPr>
          <w:p w:rsidR="00E4430E" w:rsidRPr="00E6522E" w:rsidRDefault="00E4430E" w:rsidP="00E4430E">
            <w:pPr>
              <w:spacing w:after="0" w:line="240" w:lineRule="auto"/>
              <w:rPr>
                <w:rFonts w:eastAsia="Times New Roman" w:cstheme="minorHAnsi"/>
                <w:sz w:val="18"/>
                <w:szCs w:val="18"/>
              </w:rPr>
            </w:pPr>
            <w:r w:rsidRPr="00E6522E">
              <w:rPr>
                <w:rFonts w:eastAsia="Times New Roman" w:cstheme="minorHAnsi"/>
                <w:sz w:val="18"/>
                <w:szCs w:val="18"/>
              </w:rPr>
              <w:t>  </w:t>
            </w:r>
          </w:p>
        </w:tc>
      </w:tr>
      <w:tr w:rsidR="00E4430E" w:rsidRPr="00E6522E" w:rsidTr="001D7123">
        <w:trPr>
          <w:gridAfter w:val="1"/>
          <w:wAfter w:w="5" w:type="pct"/>
          <w:trHeight w:val="288"/>
        </w:trPr>
        <w:tc>
          <w:tcPr>
            <w:tcW w:w="1294" w:type="pct"/>
            <w:tcBorders>
              <w:top w:val="nil"/>
              <w:left w:val="single" w:sz="4" w:space="0" w:color="auto"/>
              <w:bottom w:val="single" w:sz="4" w:space="0" w:color="auto"/>
              <w:right w:val="single" w:sz="4" w:space="0" w:color="auto"/>
            </w:tcBorders>
            <w:shd w:val="clear" w:color="000000" w:fill="FDE9D9"/>
            <w:vAlign w:val="bottom"/>
            <w:hideMark/>
          </w:tcPr>
          <w:p w:rsidR="00E4430E" w:rsidRPr="00E6522E" w:rsidRDefault="001D7123" w:rsidP="00806EBA">
            <w:pPr>
              <w:spacing w:after="0" w:line="240" w:lineRule="auto"/>
              <w:rPr>
                <w:rFonts w:eastAsia="Times New Roman" w:cstheme="minorHAnsi"/>
                <w:b/>
                <w:bCs/>
                <w:sz w:val="18"/>
                <w:szCs w:val="18"/>
              </w:rPr>
            </w:pPr>
            <w:r w:rsidRPr="00E6522E">
              <w:rPr>
                <w:rFonts w:eastAsia="Times New Roman" w:cstheme="minorHAnsi"/>
                <w:b/>
                <w:bCs/>
                <w:sz w:val="18"/>
                <w:szCs w:val="18"/>
              </w:rPr>
              <w:t>Decrease in Non-Financial Assets</w:t>
            </w:r>
          </w:p>
        </w:tc>
        <w:tc>
          <w:tcPr>
            <w:tcW w:w="3701" w:type="pct"/>
            <w:gridSpan w:val="5"/>
            <w:tcBorders>
              <w:top w:val="nil"/>
              <w:left w:val="nil"/>
              <w:bottom w:val="single" w:sz="4" w:space="0" w:color="auto"/>
              <w:right w:val="single" w:sz="4" w:space="0" w:color="auto"/>
            </w:tcBorders>
            <w:shd w:val="clear" w:color="000000" w:fill="FDE9D9"/>
            <w:noWrap/>
            <w:vAlign w:val="center"/>
            <w:hideMark/>
          </w:tcPr>
          <w:p w:rsidR="00E4430E" w:rsidRPr="00E6522E" w:rsidRDefault="00E4430E" w:rsidP="00E4430E">
            <w:pPr>
              <w:spacing w:after="0" w:line="240" w:lineRule="auto"/>
              <w:rPr>
                <w:rFonts w:eastAsia="Times New Roman" w:cstheme="minorHAnsi"/>
                <w:sz w:val="18"/>
                <w:szCs w:val="18"/>
              </w:rPr>
            </w:pPr>
            <w:r w:rsidRPr="00E6522E">
              <w:rPr>
                <w:rFonts w:eastAsia="Times New Roman" w:cstheme="minorHAnsi"/>
                <w:sz w:val="18"/>
                <w:szCs w:val="18"/>
              </w:rPr>
              <w:t> </w:t>
            </w:r>
          </w:p>
          <w:p w:rsidR="00E4430E" w:rsidRPr="00E6522E" w:rsidRDefault="00E4430E" w:rsidP="00806EBA">
            <w:pPr>
              <w:spacing w:after="0" w:line="240" w:lineRule="auto"/>
              <w:jc w:val="center"/>
              <w:rPr>
                <w:rFonts w:eastAsia="Times New Roman" w:cstheme="minorHAnsi"/>
                <w:sz w:val="18"/>
                <w:szCs w:val="18"/>
              </w:rPr>
            </w:pPr>
            <w:r w:rsidRPr="00E6522E">
              <w:rPr>
                <w:rFonts w:eastAsia="Times New Roman" w:cstheme="minorHAnsi"/>
                <w:sz w:val="18"/>
                <w:szCs w:val="18"/>
              </w:rPr>
              <w:t> </w:t>
            </w:r>
          </w:p>
        </w:tc>
      </w:tr>
      <w:tr w:rsidR="00806EBA" w:rsidRPr="00E6522E" w:rsidTr="004061D7">
        <w:trPr>
          <w:gridAfter w:val="1"/>
          <w:wAfter w:w="5" w:type="pct"/>
          <w:trHeight w:val="288"/>
        </w:trPr>
        <w:tc>
          <w:tcPr>
            <w:tcW w:w="1294" w:type="pct"/>
            <w:tcBorders>
              <w:top w:val="nil"/>
              <w:left w:val="single" w:sz="4" w:space="0" w:color="auto"/>
              <w:bottom w:val="single" w:sz="4" w:space="0" w:color="auto"/>
              <w:right w:val="single" w:sz="4" w:space="0" w:color="auto"/>
            </w:tcBorders>
            <w:shd w:val="clear" w:color="auto" w:fill="auto"/>
            <w:vAlign w:val="bottom"/>
            <w:hideMark/>
          </w:tcPr>
          <w:p w:rsidR="00806EBA" w:rsidRPr="00E6522E" w:rsidRDefault="00806EBA" w:rsidP="00F20410">
            <w:pPr>
              <w:spacing w:after="0" w:line="240" w:lineRule="auto"/>
              <w:rPr>
                <w:rFonts w:eastAsia="Times New Roman" w:cstheme="minorHAnsi"/>
                <w:sz w:val="18"/>
                <w:szCs w:val="18"/>
              </w:rPr>
            </w:pPr>
            <w:r w:rsidRPr="00E6522E">
              <w:rPr>
                <w:rFonts w:eastAsia="Times New Roman" w:cstheme="minorHAnsi"/>
                <w:sz w:val="18"/>
                <w:szCs w:val="18"/>
              </w:rPr>
              <w:t xml:space="preserve">2019-2022 </w:t>
            </w:r>
            <w:r w:rsidR="00A21683" w:rsidRPr="00E6522E">
              <w:rPr>
                <w:rFonts w:eastAsia="Times New Roman" w:cstheme="minorHAnsi"/>
                <w:sz w:val="18"/>
                <w:szCs w:val="18"/>
              </w:rPr>
              <w:t>Forecast</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0,3%</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0,3%</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0,2%</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0,2%</w:t>
            </w:r>
          </w:p>
        </w:tc>
        <w:tc>
          <w:tcPr>
            <w:tcW w:w="741" w:type="pct"/>
            <w:tcBorders>
              <w:top w:val="nil"/>
              <w:left w:val="nil"/>
              <w:bottom w:val="single" w:sz="4" w:space="0" w:color="auto"/>
              <w:right w:val="single" w:sz="4" w:space="0" w:color="auto"/>
            </w:tcBorders>
            <w:shd w:val="clear" w:color="000000" w:fill="FDE9D9"/>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 </w:t>
            </w:r>
          </w:p>
        </w:tc>
      </w:tr>
      <w:tr w:rsidR="00806EBA" w:rsidRPr="00E6522E" w:rsidTr="004061D7">
        <w:trPr>
          <w:gridAfter w:val="1"/>
          <w:wAfter w:w="5" w:type="pct"/>
          <w:trHeight w:val="288"/>
        </w:trPr>
        <w:tc>
          <w:tcPr>
            <w:tcW w:w="1294" w:type="pct"/>
            <w:tcBorders>
              <w:top w:val="nil"/>
              <w:left w:val="single" w:sz="4" w:space="0" w:color="auto"/>
              <w:bottom w:val="single" w:sz="4" w:space="0" w:color="auto"/>
              <w:right w:val="single" w:sz="4" w:space="0" w:color="auto"/>
            </w:tcBorders>
            <w:shd w:val="clear" w:color="auto" w:fill="auto"/>
            <w:vAlign w:val="bottom"/>
            <w:hideMark/>
          </w:tcPr>
          <w:p w:rsidR="00806EBA" w:rsidRPr="00E6522E" w:rsidRDefault="00806EBA" w:rsidP="00F20410">
            <w:pPr>
              <w:spacing w:after="0" w:line="240" w:lineRule="auto"/>
              <w:rPr>
                <w:rFonts w:eastAsia="Times New Roman" w:cstheme="minorHAnsi"/>
                <w:sz w:val="18"/>
                <w:szCs w:val="18"/>
              </w:rPr>
            </w:pPr>
            <w:r w:rsidRPr="00E6522E">
              <w:rPr>
                <w:rFonts w:eastAsia="Times New Roman" w:cstheme="minorHAnsi"/>
                <w:sz w:val="18"/>
                <w:szCs w:val="18"/>
              </w:rPr>
              <w:t xml:space="preserve">2020-2023 </w:t>
            </w:r>
            <w:r w:rsidR="00A21683" w:rsidRPr="00E6522E">
              <w:rPr>
                <w:rFonts w:eastAsia="Times New Roman" w:cstheme="minorHAnsi"/>
                <w:sz w:val="18"/>
                <w:szCs w:val="18"/>
              </w:rPr>
              <w:t>Forecast</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0,3%</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0,4%</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0,3%</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0,3%</w:t>
            </w:r>
          </w:p>
        </w:tc>
        <w:tc>
          <w:tcPr>
            <w:tcW w:w="741" w:type="pct"/>
            <w:tcBorders>
              <w:top w:val="nil"/>
              <w:left w:val="nil"/>
              <w:bottom w:val="single" w:sz="4" w:space="0" w:color="auto"/>
              <w:right w:val="single" w:sz="4" w:space="0" w:color="auto"/>
            </w:tcBorders>
            <w:shd w:val="clear" w:color="000000" w:fill="FDE9D9"/>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0,3%</w:t>
            </w:r>
          </w:p>
        </w:tc>
      </w:tr>
      <w:tr w:rsidR="00806EBA" w:rsidRPr="00E6522E" w:rsidTr="004061D7">
        <w:trPr>
          <w:gridAfter w:val="1"/>
          <w:wAfter w:w="5" w:type="pct"/>
          <w:trHeight w:val="288"/>
        </w:trPr>
        <w:tc>
          <w:tcPr>
            <w:tcW w:w="1294" w:type="pct"/>
            <w:tcBorders>
              <w:top w:val="nil"/>
              <w:left w:val="single" w:sz="4" w:space="0" w:color="auto"/>
              <w:bottom w:val="single" w:sz="4" w:space="0" w:color="auto"/>
              <w:right w:val="single" w:sz="4" w:space="0" w:color="auto"/>
            </w:tcBorders>
            <w:shd w:val="clear" w:color="auto" w:fill="auto"/>
            <w:noWrap/>
            <w:vAlign w:val="bottom"/>
            <w:hideMark/>
          </w:tcPr>
          <w:p w:rsidR="00806EBA" w:rsidRPr="00E6522E" w:rsidRDefault="00A21683" w:rsidP="00F20410">
            <w:pPr>
              <w:spacing w:after="0" w:line="240" w:lineRule="auto"/>
              <w:rPr>
                <w:rFonts w:eastAsia="Times New Roman" w:cstheme="minorHAnsi"/>
                <w:sz w:val="18"/>
                <w:szCs w:val="18"/>
              </w:rPr>
            </w:pPr>
            <w:r w:rsidRPr="00E6522E">
              <w:rPr>
                <w:rFonts w:eastAsia="Times New Roman" w:cstheme="minorHAnsi"/>
                <w:sz w:val="18"/>
                <w:szCs w:val="18"/>
              </w:rPr>
              <w:t>Difference</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0,2%</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0,1%</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0,1%</w:t>
            </w:r>
          </w:p>
        </w:tc>
        <w:tc>
          <w:tcPr>
            <w:tcW w:w="741" w:type="pct"/>
            <w:tcBorders>
              <w:top w:val="nil"/>
              <w:left w:val="nil"/>
              <w:bottom w:val="single" w:sz="4" w:space="0" w:color="auto"/>
              <w:right w:val="single" w:sz="4" w:space="0" w:color="auto"/>
            </w:tcBorders>
            <w:shd w:val="clear" w:color="000000" w:fill="FDE9D9"/>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 </w:t>
            </w:r>
          </w:p>
        </w:tc>
      </w:tr>
      <w:tr w:rsidR="00E4430E" w:rsidRPr="00E6522E" w:rsidTr="001D7123">
        <w:trPr>
          <w:trHeight w:val="288"/>
        </w:trPr>
        <w:tc>
          <w:tcPr>
            <w:tcW w:w="5000" w:type="pct"/>
            <w:gridSpan w:val="7"/>
            <w:tcBorders>
              <w:top w:val="nil"/>
              <w:left w:val="single" w:sz="4" w:space="0" w:color="auto"/>
              <w:bottom w:val="single" w:sz="4" w:space="0" w:color="auto"/>
              <w:right w:val="single" w:sz="4" w:space="0" w:color="auto"/>
            </w:tcBorders>
            <w:shd w:val="clear" w:color="auto" w:fill="auto"/>
            <w:noWrap/>
            <w:vAlign w:val="bottom"/>
            <w:hideMark/>
          </w:tcPr>
          <w:p w:rsidR="00E4430E" w:rsidRPr="00E6522E" w:rsidRDefault="00E4430E" w:rsidP="00E4430E">
            <w:pPr>
              <w:spacing w:after="0" w:line="240" w:lineRule="auto"/>
              <w:rPr>
                <w:rFonts w:eastAsia="Times New Roman" w:cstheme="minorHAnsi"/>
                <w:sz w:val="18"/>
                <w:szCs w:val="18"/>
              </w:rPr>
            </w:pPr>
            <w:r w:rsidRPr="00E6522E">
              <w:rPr>
                <w:rFonts w:eastAsia="Times New Roman" w:cstheme="minorHAnsi"/>
                <w:sz w:val="18"/>
                <w:szCs w:val="18"/>
              </w:rPr>
              <w:t>  </w:t>
            </w:r>
          </w:p>
        </w:tc>
      </w:tr>
      <w:tr w:rsidR="00E4430E" w:rsidRPr="00E6522E" w:rsidTr="001D7123">
        <w:trPr>
          <w:gridAfter w:val="1"/>
          <w:wAfter w:w="5" w:type="pct"/>
          <w:trHeight w:val="288"/>
        </w:trPr>
        <w:tc>
          <w:tcPr>
            <w:tcW w:w="1294" w:type="pct"/>
            <w:tcBorders>
              <w:top w:val="nil"/>
              <w:left w:val="single" w:sz="4" w:space="0" w:color="auto"/>
              <w:bottom w:val="single" w:sz="4" w:space="0" w:color="auto"/>
              <w:right w:val="single" w:sz="4" w:space="0" w:color="auto"/>
            </w:tcBorders>
            <w:shd w:val="clear" w:color="000000" w:fill="FDE9D9"/>
            <w:vAlign w:val="bottom"/>
            <w:hideMark/>
          </w:tcPr>
          <w:p w:rsidR="00E4430E" w:rsidRPr="00E6522E" w:rsidRDefault="001D7123" w:rsidP="00806EBA">
            <w:pPr>
              <w:spacing w:after="0" w:line="240" w:lineRule="auto"/>
              <w:rPr>
                <w:rFonts w:eastAsia="Times New Roman" w:cstheme="minorHAnsi"/>
                <w:b/>
                <w:bCs/>
                <w:sz w:val="18"/>
                <w:szCs w:val="18"/>
              </w:rPr>
            </w:pPr>
            <w:r w:rsidRPr="00E6522E">
              <w:rPr>
                <w:rFonts w:eastAsia="Times New Roman" w:cstheme="minorHAnsi"/>
                <w:b/>
                <w:bCs/>
                <w:sz w:val="18"/>
                <w:szCs w:val="18"/>
              </w:rPr>
              <w:t>Decrease in Financial Assets</w:t>
            </w:r>
          </w:p>
        </w:tc>
        <w:tc>
          <w:tcPr>
            <w:tcW w:w="3701" w:type="pct"/>
            <w:gridSpan w:val="5"/>
            <w:tcBorders>
              <w:top w:val="nil"/>
              <w:left w:val="nil"/>
              <w:bottom w:val="single" w:sz="4" w:space="0" w:color="auto"/>
              <w:right w:val="single" w:sz="4" w:space="0" w:color="auto"/>
            </w:tcBorders>
            <w:shd w:val="clear" w:color="000000" w:fill="FDE9D9"/>
            <w:noWrap/>
            <w:vAlign w:val="center"/>
            <w:hideMark/>
          </w:tcPr>
          <w:p w:rsidR="00E4430E" w:rsidRPr="00E6522E" w:rsidRDefault="00E4430E" w:rsidP="00E4430E">
            <w:pPr>
              <w:spacing w:after="0" w:line="240" w:lineRule="auto"/>
              <w:rPr>
                <w:rFonts w:eastAsia="Times New Roman" w:cstheme="minorHAnsi"/>
                <w:sz w:val="18"/>
                <w:szCs w:val="18"/>
              </w:rPr>
            </w:pPr>
            <w:r w:rsidRPr="00E6522E">
              <w:rPr>
                <w:rFonts w:eastAsia="Times New Roman" w:cstheme="minorHAnsi"/>
                <w:sz w:val="18"/>
                <w:szCs w:val="18"/>
              </w:rPr>
              <w:t> </w:t>
            </w:r>
          </w:p>
        </w:tc>
      </w:tr>
      <w:tr w:rsidR="00806EBA" w:rsidRPr="00E6522E" w:rsidTr="004061D7">
        <w:trPr>
          <w:gridAfter w:val="1"/>
          <w:wAfter w:w="5" w:type="pct"/>
          <w:trHeight w:val="288"/>
        </w:trPr>
        <w:tc>
          <w:tcPr>
            <w:tcW w:w="1294" w:type="pct"/>
            <w:tcBorders>
              <w:top w:val="nil"/>
              <w:left w:val="single" w:sz="4" w:space="0" w:color="auto"/>
              <w:bottom w:val="single" w:sz="4" w:space="0" w:color="auto"/>
              <w:right w:val="single" w:sz="4" w:space="0" w:color="auto"/>
            </w:tcBorders>
            <w:shd w:val="clear" w:color="auto" w:fill="auto"/>
            <w:vAlign w:val="bottom"/>
            <w:hideMark/>
          </w:tcPr>
          <w:p w:rsidR="00806EBA" w:rsidRPr="00E6522E" w:rsidRDefault="00806EBA" w:rsidP="00F20410">
            <w:pPr>
              <w:spacing w:after="0" w:line="240" w:lineRule="auto"/>
              <w:rPr>
                <w:rFonts w:eastAsia="Times New Roman" w:cstheme="minorHAnsi"/>
                <w:sz w:val="18"/>
                <w:szCs w:val="18"/>
              </w:rPr>
            </w:pPr>
            <w:r w:rsidRPr="00E6522E">
              <w:rPr>
                <w:rFonts w:eastAsia="Times New Roman" w:cstheme="minorHAnsi"/>
                <w:sz w:val="18"/>
                <w:szCs w:val="18"/>
              </w:rPr>
              <w:t xml:space="preserve">2019-2022 </w:t>
            </w:r>
            <w:r w:rsidR="00A21683" w:rsidRPr="00E6522E">
              <w:rPr>
                <w:rFonts w:eastAsia="Times New Roman" w:cstheme="minorHAnsi"/>
                <w:sz w:val="18"/>
                <w:szCs w:val="18"/>
              </w:rPr>
              <w:t>Forecast</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0,2%</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0,2%</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0,2%</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0,2%</w:t>
            </w:r>
          </w:p>
        </w:tc>
        <w:tc>
          <w:tcPr>
            <w:tcW w:w="741" w:type="pct"/>
            <w:tcBorders>
              <w:top w:val="nil"/>
              <w:left w:val="nil"/>
              <w:bottom w:val="single" w:sz="4" w:space="0" w:color="auto"/>
              <w:right w:val="single" w:sz="4" w:space="0" w:color="auto"/>
            </w:tcBorders>
            <w:shd w:val="clear" w:color="000000" w:fill="FDE9D9"/>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 </w:t>
            </w:r>
          </w:p>
        </w:tc>
      </w:tr>
      <w:tr w:rsidR="00806EBA" w:rsidRPr="00E6522E" w:rsidTr="004061D7">
        <w:trPr>
          <w:gridAfter w:val="1"/>
          <w:wAfter w:w="5" w:type="pct"/>
          <w:trHeight w:val="288"/>
        </w:trPr>
        <w:tc>
          <w:tcPr>
            <w:tcW w:w="1294" w:type="pct"/>
            <w:tcBorders>
              <w:top w:val="nil"/>
              <w:left w:val="single" w:sz="4" w:space="0" w:color="auto"/>
              <w:bottom w:val="single" w:sz="4" w:space="0" w:color="auto"/>
              <w:right w:val="single" w:sz="4" w:space="0" w:color="auto"/>
            </w:tcBorders>
            <w:shd w:val="clear" w:color="auto" w:fill="auto"/>
            <w:vAlign w:val="bottom"/>
            <w:hideMark/>
          </w:tcPr>
          <w:p w:rsidR="00806EBA" w:rsidRPr="00E6522E" w:rsidRDefault="00806EBA" w:rsidP="00F20410">
            <w:pPr>
              <w:spacing w:after="0" w:line="240" w:lineRule="auto"/>
              <w:rPr>
                <w:rFonts w:eastAsia="Times New Roman" w:cstheme="minorHAnsi"/>
                <w:sz w:val="18"/>
                <w:szCs w:val="18"/>
              </w:rPr>
            </w:pPr>
            <w:r w:rsidRPr="00E6522E">
              <w:rPr>
                <w:rFonts w:eastAsia="Times New Roman" w:cstheme="minorHAnsi"/>
                <w:sz w:val="18"/>
                <w:szCs w:val="18"/>
              </w:rPr>
              <w:t xml:space="preserve">2020-2023 </w:t>
            </w:r>
            <w:r w:rsidR="00A21683" w:rsidRPr="00E6522E">
              <w:rPr>
                <w:rFonts w:eastAsia="Times New Roman" w:cstheme="minorHAnsi"/>
                <w:sz w:val="18"/>
                <w:szCs w:val="18"/>
              </w:rPr>
              <w:t>Forecast</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0,2%</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0,2%</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0,2%</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0,1%</w:t>
            </w:r>
          </w:p>
        </w:tc>
        <w:tc>
          <w:tcPr>
            <w:tcW w:w="741" w:type="pct"/>
            <w:tcBorders>
              <w:top w:val="nil"/>
              <w:left w:val="nil"/>
              <w:bottom w:val="single" w:sz="4" w:space="0" w:color="auto"/>
              <w:right w:val="single" w:sz="4" w:space="0" w:color="auto"/>
            </w:tcBorders>
            <w:shd w:val="clear" w:color="000000" w:fill="FDE9D9"/>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0,1%</w:t>
            </w:r>
          </w:p>
        </w:tc>
      </w:tr>
      <w:tr w:rsidR="00806EBA" w:rsidRPr="00E6522E" w:rsidTr="004061D7">
        <w:trPr>
          <w:gridAfter w:val="1"/>
          <w:wAfter w:w="5" w:type="pct"/>
          <w:trHeight w:val="288"/>
        </w:trPr>
        <w:tc>
          <w:tcPr>
            <w:tcW w:w="1294" w:type="pct"/>
            <w:tcBorders>
              <w:top w:val="nil"/>
              <w:left w:val="single" w:sz="4" w:space="0" w:color="auto"/>
              <w:bottom w:val="single" w:sz="4" w:space="0" w:color="auto"/>
              <w:right w:val="single" w:sz="4" w:space="0" w:color="auto"/>
            </w:tcBorders>
            <w:shd w:val="clear" w:color="auto" w:fill="auto"/>
            <w:noWrap/>
            <w:vAlign w:val="bottom"/>
            <w:hideMark/>
          </w:tcPr>
          <w:p w:rsidR="00806EBA" w:rsidRPr="00E6522E" w:rsidRDefault="00A21683" w:rsidP="00F20410">
            <w:pPr>
              <w:spacing w:after="0" w:line="240" w:lineRule="auto"/>
              <w:rPr>
                <w:rFonts w:eastAsia="Times New Roman" w:cstheme="minorHAnsi"/>
                <w:sz w:val="18"/>
                <w:szCs w:val="18"/>
              </w:rPr>
            </w:pPr>
            <w:r w:rsidRPr="00E6522E">
              <w:rPr>
                <w:rFonts w:eastAsia="Times New Roman" w:cstheme="minorHAnsi"/>
                <w:sz w:val="18"/>
                <w:szCs w:val="18"/>
              </w:rPr>
              <w:t>Difference</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0,0%</w:t>
            </w:r>
          </w:p>
        </w:tc>
        <w:tc>
          <w:tcPr>
            <w:tcW w:w="741" w:type="pct"/>
            <w:tcBorders>
              <w:top w:val="nil"/>
              <w:left w:val="nil"/>
              <w:bottom w:val="single" w:sz="4" w:space="0" w:color="auto"/>
              <w:right w:val="single" w:sz="4" w:space="0" w:color="auto"/>
            </w:tcBorders>
            <w:shd w:val="clear" w:color="000000" w:fill="FDE9D9"/>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 </w:t>
            </w:r>
          </w:p>
        </w:tc>
      </w:tr>
    </w:tbl>
    <w:p w:rsidR="00C551C7" w:rsidRPr="00E6522E" w:rsidRDefault="00C551C7" w:rsidP="006A22AE">
      <w:pPr>
        <w:jc w:val="both"/>
        <w:rPr>
          <w:rFonts w:cstheme="minorHAnsi"/>
          <w:lang w:val="ka-GE"/>
        </w:rPr>
      </w:pPr>
    </w:p>
    <w:p w:rsidR="00C91645" w:rsidRPr="00E6522E" w:rsidRDefault="00C91645" w:rsidP="006A22AE">
      <w:pPr>
        <w:jc w:val="both"/>
        <w:rPr>
          <w:rFonts w:cstheme="minorHAnsi"/>
          <w:lang w:val="ka-GE"/>
        </w:rPr>
      </w:pPr>
      <w:r w:rsidRPr="00E6522E">
        <w:rPr>
          <w:rFonts w:cstheme="minorHAnsi"/>
          <w:lang w:val="ka-GE"/>
        </w:rPr>
        <w:t xml:space="preserve">There are no substantial changes in the revenue forecasts for the 2020-2023 projections compared to the 2019-2022 forecasts. </w:t>
      </w:r>
      <w:r w:rsidR="00112373" w:rsidRPr="00E6522E">
        <w:rPr>
          <w:rFonts w:cstheme="minorHAnsi"/>
          <w:lang w:val="ka-GE"/>
        </w:rPr>
        <w:t xml:space="preserve">Revenue forecasts </w:t>
      </w:r>
      <w:r w:rsidR="001116C5" w:rsidRPr="00E6522E">
        <w:rPr>
          <w:rFonts w:cstheme="minorHAnsi"/>
        </w:rPr>
        <w:t>have</w:t>
      </w:r>
      <w:r w:rsidR="00112373" w:rsidRPr="00E6522E">
        <w:rPr>
          <w:rFonts w:cstheme="minorHAnsi"/>
        </w:rPr>
        <w:t xml:space="preserve"> been</w:t>
      </w:r>
      <w:r w:rsidR="00112373" w:rsidRPr="00E6522E">
        <w:rPr>
          <w:rFonts w:cstheme="minorHAnsi"/>
          <w:lang w:val="ka-GE"/>
        </w:rPr>
        <w:t xml:space="preserve"> adjusted as a result of adjustments for economic growth, including actual figures for 2018, and reflect current performance trends in terms of taxes and other revenues, as well as forecasts of receivables from privatization and </w:t>
      </w:r>
      <w:r w:rsidR="00112373" w:rsidRPr="00E6522E">
        <w:rPr>
          <w:rFonts w:cstheme="minorHAnsi"/>
        </w:rPr>
        <w:t>decrease</w:t>
      </w:r>
      <w:r w:rsidR="00112373" w:rsidRPr="00E6522E">
        <w:rPr>
          <w:rFonts w:cstheme="minorHAnsi"/>
          <w:lang w:val="ka-GE"/>
        </w:rPr>
        <w:t xml:space="preserve"> in financial assets.</w:t>
      </w:r>
      <w:r w:rsidR="00112373" w:rsidRPr="00E6522E">
        <w:rPr>
          <w:rFonts w:cstheme="minorHAnsi"/>
        </w:rPr>
        <w:t xml:space="preserve"> </w:t>
      </w:r>
      <w:r w:rsidR="001D560F" w:rsidRPr="00E6522E">
        <w:rPr>
          <w:rFonts w:cstheme="minorHAnsi"/>
        </w:rPr>
        <w:t xml:space="preserve">It should </w:t>
      </w:r>
      <w:r w:rsidR="001116C5" w:rsidRPr="00E6522E">
        <w:rPr>
          <w:rFonts w:cstheme="minorHAnsi"/>
        </w:rPr>
        <w:t xml:space="preserve">be </w:t>
      </w:r>
      <w:r w:rsidR="00112373" w:rsidRPr="00E6522E">
        <w:rPr>
          <w:rFonts w:cstheme="minorHAnsi"/>
        </w:rPr>
        <w:t>mentioned</w:t>
      </w:r>
      <w:r w:rsidRPr="00E6522E">
        <w:rPr>
          <w:rFonts w:cstheme="minorHAnsi"/>
        </w:rPr>
        <w:t xml:space="preserve"> that, the composition of tax revenues has changed this year</w:t>
      </w:r>
      <w:r w:rsidR="001D560F" w:rsidRPr="00E6522E">
        <w:rPr>
          <w:rFonts w:cstheme="minorHAnsi"/>
        </w:rPr>
        <w:t xml:space="preserve">. Accordingly, amendments to the 2019 Budget Law have been made. </w:t>
      </w:r>
    </w:p>
    <w:p w:rsidR="00112373" w:rsidRPr="00E6522E" w:rsidRDefault="00112373" w:rsidP="00112373">
      <w:pPr>
        <w:jc w:val="both"/>
        <w:rPr>
          <w:rFonts w:cstheme="minorHAnsi"/>
        </w:rPr>
      </w:pPr>
      <w:r w:rsidRPr="00E6522E">
        <w:rPr>
          <w:rFonts w:cstheme="minorHAnsi"/>
          <w:lang w:val="ka-GE"/>
        </w:rPr>
        <w:t xml:space="preserve">Changes in Revenue forecasts </w:t>
      </w:r>
      <w:r w:rsidR="009F3054" w:rsidRPr="00E6522E">
        <w:rPr>
          <w:rFonts w:cstheme="minorHAnsi"/>
        </w:rPr>
        <w:t>as percent of GDP</w:t>
      </w:r>
      <w:r w:rsidRPr="00E6522E">
        <w:rPr>
          <w:rFonts w:cstheme="minorHAnsi"/>
          <w:lang w:val="ka-GE"/>
        </w:rPr>
        <w:t xml:space="preserve"> is caused by the change</w:t>
      </w:r>
      <w:r w:rsidR="001116C5" w:rsidRPr="00E6522E">
        <w:rPr>
          <w:rFonts w:cstheme="minorHAnsi"/>
        </w:rPr>
        <w:t xml:space="preserve"> of</w:t>
      </w:r>
      <w:r w:rsidRPr="00E6522E">
        <w:rPr>
          <w:rFonts w:cstheme="minorHAnsi"/>
          <w:lang w:val="ka-GE"/>
        </w:rPr>
        <w:t xml:space="preserve"> the </w:t>
      </w:r>
      <w:r w:rsidR="001116C5" w:rsidRPr="00E6522E">
        <w:rPr>
          <w:rFonts w:cstheme="minorHAnsi"/>
        </w:rPr>
        <w:t xml:space="preserve">base </w:t>
      </w:r>
      <w:r w:rsidRPr="00E6522E">
        <w:rPr>
          <w:rFonts w:cstheme="minorHAnsi"/>
          <w:lang w:val="ka-GE"/>
        </w:rPr>
        <w:t>GDP data</w:t>
      </w:r>
      <w:r w:rsidR="001116C5" w:rsidRPr="00E6522E">
        <w:rPr>
          <w:rFonts w:cstheme="minorHAnsi"/>
        </w:rPr>
        <w:t xml:space="preserve"> </w:t>
      </w:r>
      <w:r w:rsidRPr="00E6522E">
        <w:rPr>
          <w:rFonts w:cstheme="minorHAnsi"/>
        </w:rPr>
        <w:t xml:space="preserve">related to the introducing new methodology by the National Statistics Office. While, </w:t>
      </w:r>
      <w:r w:rsidR="001116C5" w:rsidRPr="00E6522E">
        <w:rPr>
          <w:rFonts w:cstheme="minorHAnsi"/>
        </w:rPr>
        <w:t xml:space="preserve">revenues as ratio to </w:t>
      </w:r>
      <w:r w:rsidRPr="00E6522E">
        <w:rPr>
          <w:rFonts w:cstheme="minorHAnsi"/>
        </w:rPr>
        <w:t xml:space="preserve">GDP declined by almost 2 percentage points, in fact, the revenue </w:t>
      </w:r>
      <w:r w:rsidR="001116C5" w:rsidRPr="00E6522E">
        <w:rPr>
          <w:rFonts w:cstheme="minorHAnsi"/>
        </w:rPr>
        <w:t>forecast</w:t>
      </w:r>
      <w:r w:rsidRPr="00E6522E">
        <w:rPr>
          <w:rFonts w:cstheme="minorHAnsi"/>
        </w:rPr>
        <w:t xml:space="preserve"> remain</w:t>
      </w:r>
      <w:r w:rsidR="001116C5" w:rsidRPr="00E6522E">
        <w:rPr>
          <w:rFonts w:cstheme="minorHAnsi"/>
        </w:rPr>
        <w:t>s</w:t>
      </w:r>
      <w:r w:rsidRPr="00E6522E">
        <w:rPr>
          <w:rFonts w:cstheme="minorHAnsi"/>
        </w:rPr>
        <w:t xml:space="preserve"> stable at </w:t>
      </w:r>
      <w:r w:rsidR="00B554A1" w:rsidRPr="00E6522E">
        <w:rPr>
          <w:rFonts w:cstheme="minorHAnsi"/>
        </w:rPr>
        <w:t>the same</w:t>
      </w:r>
      <w:r w:rsidR="009C590B" w:rsidRPr="00E6522E">
        <w:rPr>
          <w:rFonts w:cstheme="minorHAnsi"/>
        </w:rPr>
        <w:t xml:space="preserve"> level -</w:t>
      </w:r>
      <w:r w:rsidRPr="00E6522E">
        <w:rPr>
          <w:rFonts w:cstheme="minorHAnsi"/>
        </w:rPr>
        <w:t xml:space="preserve"> on average, </w:t>
      </w:r>
      <w:r w:rsidR="001116C5" w:rsidRPr="00E6522E">
        <w:rPr>
          <w:rFonts w:cstheme="minorHAnsi"/>
        </w:rPr>
        <w:t xml:space="preserve">up to 25.5% of </w:t>
      </w:r>
      <w:r w:rsidR="00B554A1" w:rsidRPr="00E6522E">
        <w:rPr>
          <w:rFonts w:cstheme="minorHAnsi"/>
        </w:rPr>
        <w:t xml:space="preserve">adjusted </w:t>
      </w:r>
      <w:r w:rsidRPr="00E6522E">
        <w:rPr>
          <w:rFonts w:cstheme="minorHAnsi"/>
        </w:rPr>
        <w:t>(increased)</w:t>
      </w:r>
      <w:r w:rsidR="001116C5" w:rsidRPr="00E6522E">
        <w:rPr>
          <w:rFonts w:cstheme="minorHAnsi"/>
        </w:rPr>
        <w:t xml:space="preserve"> nominal GDP. </w:t>
      </w:r>
      <w:r w:rsidRPr="00E6522E">
        <w:rPr>
          <w:rFonts w:cstheme="minorHAnsi"/>
        </w:rPr>
        <w:t xml:space="preserve"> </w:t>
      </w:r>
    </w:p>
    <w:p w:rsidR="00F20410" w:rsidRPr="00E6522E" w:rsidRDefault="00DB05A5" w:rsidP="00F20410">
      <w:pPr>
        <w:jc w:val="right"/>
        <w:rPr>
          <w:rFonts w:cstheme="minorHAnsi"/>
          <w:b/>
          <w:i/>
        </w:rPr>
      </w:pPr>
      <w:r w:rsidRPr="00E6522E">
        <w:rPr>
          <w:rFonts w:cstheme="minorHAnsi"/>
          <w:b/>
          <w:i/>
        </w:rPr>
        <w:t>(Million GEL)</w:t>
      </w:r>
    </w:p>
    <w:tbl>
      <w:tblPr>
        <w:tblW w:w="5000" w:type="pct"/>
        <w:tblLook w:val="04A0" w:firstRow="1" w:lastRow="0" w:firstColumn="1" w:lastColumn="0" w:noHBand="0" w:noVBand="1"/>
      </w:tblPr>
      <w:tblGrid>
        <w:gridCol w:w="2402"/>
        <w:gridCol w:w="1441"/>
        <w:gridCol w:w="1441"/>
        <w:gridCol w:w="1441"/>
        <w:gridCol w:w="1441"/>
        <w:gridCol w:w="1441"/>
      </w:tblGrid>
      <w:tr w:rsidR="00F20410" w:rsidRPr="00E6522E" w:rsidTr="00E6522E">
        <w:trPr>
          <w:trHeight w:val="113"/>
          <w:tblHead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0410" w:rsidRPr="00E6522E" w:rsidRDefault="00F20410" w:rsidP="00F20410">
            <w:pPr>
              <w:spacing w:after="0" w:line="240" w:lineRule="auto"/>
              <w:rPr>
                <w:rFonts w:eastAsia="Times New Roman" w:cstheme="minorHAnsi"/>
                <w:sz w:val="18"/>
                <w:szCs w:val="20"/>
              </w:rPr>
            </w:pPr>
            <w:r w:rsidRPr="00E6522E">
              <w:rPr>
                <w:rFonts w:eastAsia="Times New Roman" w:cstheme="minorHAnsi"/>
                <w:sz w:val="18"/>
                <w:szCs w:val="20"/>
              </w:rPr>
              <w:t> </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b/>
                <w:bCs/>
                <w:sz w:val="18"/>
                <w:szCs w:val="20"/>
              </w:rPr>
            </w:pPr>
            <w:r w:rsidRPr="00E6522E">
              <w:rPr>
                <w:rFonts w:eastAsia="Times New Roman" w:cstheme="minorHAnsi"/>
                <w:b/>
                <w:bCs/>
                <w:sz w:val="18"/>
                <w:szCs w:val="20"/>
              </w:rPr>
              <w:t>2019</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b/>
                <w:bCs/>
                <w:sz w:val="18"/>
                <w:szCs w:val="20"/>
              </w:rPr>
            </w:pPr>
            <w:r w:rsidRPr="00E6522E">
              <w:rPr>
                <w:rFonts w:eastAsia="Times New Roman" w:cstheme="minorHAnsi"/>
                <w:b/>
                <w:bCs/>
                <w:sz w:val="18"/>
                <w:szCs w:val="20"/>
              </w:rPr>
              <w:t>2020</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b/>
                <w:bCs/>
                <w:sz w:val="18"/>
                <w:szCs w:val="20"/>
              </w:rPr>
            </w:pPr>
            <w:r w:rsidRPr="00E6522E">
              <w:rPr>
                <w:rFonts w:eastAsia="Times New Roman" w:cstheme="minorHAnsi"/>
                <w:b/>
                <w:bCs/>
                <w:sz w:val="18"/>
                <w:szCs w:val="20"/>
              </w:rPr>
              <w:t>2021</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b/>
                <w:bCs/>
                <w:sz w:val="18"/>
                <w:szCs w:val="20"/>
              </w:rPr>
            </w:pPr>
            <w:r w:rsidRPr="00E6522E">
              <w:rPr>
                <w:rFonts w:eastAsia="Times New Roman" w:cstheme="minorHAnsi"/>
                <w:b/>
                <w:bCs/>
                <w:sz w:val="18"/>
                <w:szCs w:val="20"/>
              </w:rPr>
              <w:t>2022</w:t>
            </w:r>
          </w:p>
        </w:tc>
        <w:tc>
          <w:tcPr>
            <w:tcW w:w="750" w:type="pct"/>
            <w:tcBorders>
              <w:top w:val="single" w:sz="4" w:space="0" w:color="auto"/>
              <w:left w:val="nil"/>
              <w:bottom w:val="single" w:sz="4" w:space="0" w:color="auto"/>
              <w:right w:val="single" w:sz="4" w:space="0" w:color="auto"/>
            </w:tcBorders>
            <w:shd w:val="clear" w:color="000000" w:fill="FDE9D9"/>
            <w:noWrap/>
            <w:vAlign w:val="center"/>
            <w:hideMark/>
          </w:tcPr>
          <w:p w:rsidR="00F20410" w:rsidRPr="00E6522E" w:rsidRDefault="00F20410" w:rsidP="00F20410">
            <w:pPr>
              <w:spacing w:after="0" w:line="240" w:lineRule="auto"/>
              <w:jc w:val="center"/>
              <w:rPr>
                <w:rFonts w:eastAsia="Times New Roman" w:cstheme="minorHAnsi"/>
                <w:b/>
                <w:bCs/>
                <w:sz w:val="18"/>
                <w:szCs w:val="20"/>
              </w:rPr>
            </w:pPr>
            <w:r w:rsidRPr="00E6522E">
              <w:rPr>
                <w:rFonts w:eastAsia="Times New Roman" w:cstheme="minorHAnsi"/>
                <w:b/>
                <w:bCs/>
                <w:sz w:val="18"/>
                <w:szCs w:val="20"/>
              </w:rPr>
              <w:t>2023</w:t>
            </w:r>
          </w:p>
        </w:tc>
      </w:tr>
      <w:tr w:rsidR="00DB05A5" w:rsidRPr="00E6522E" w:rsidTr="00E6522E">
        <w:trPr>
          <w:trHeight w:val="113"/>
          <w:tblHeader/>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DB05A5" w:rsidRPr="00E6522E" w:rsidRDefault="00DB05A5" w:rsidP="00DB05A5">
            <w:pPr>
              <w:spacing w:after="0" w:line="240" w:lineRule="auto"/>
              <w:rPr>
                <w:rFonts w:eastAsia="Times New Roman" w:cstheme="minorHAnsi"/>
                <w:sz w:val="18"/>
                <w:szCs w:val="20"/>
              </w:rPr>
            </w:pPr>
            <w:r w:rsidRPr="00E6522E">
              <w:rPr>
                <w:rFonts w:eastAsia="Times New Roman" w:cstheme="minorHAnsi"/>
                <w:sz w:val="18"/>
                <w:szCs w:val="20"/>
              </w:rPr>
              <w:t> </w:t>
            </w:r>
          </w:p>
        </w:tc>
        <w:tc>
          <w:tcPr>
            <w:tcW w:w="750"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b/>
                <w:bCs/>
                <w:sz w:val="18"/>
                <w:szCs w:val="18"/>
              </w:rPr>
            </w:pPr>
            <w:r w:rsidRPr="00E6522E">
              <w:rPr>
                <w:rFonts w:eastAsia="Times New Roman" w:cstheme="minorHAnsi"/>
                <w:b/>
                <w:bCs/>
                <w:sz w:val="18"/>
                <w:szCs w:val="18"/>
              </w:rPr>
              <w:t>Expected</w:t>
            </w:r>
          </w:p>
        </w:tc>
        <w:tc>
          <w:tcPr>
            <w:tcW w:w="750" w:type="pct"/>
            <w:tcBorders>
              <w:top w:val="nil"/>
              <w:left w:val="nil"/>
              <w:bottom w:val="single" w:sz="4" w:space="0" w:color="auto"/>
              <w:right w:val="single" w:sz="4" w:space="0" w:color="auto"/>
            </w:tcBorders>
            <w:shd w:val="clear" w:color="auto" w:fill="auto"/>
            <w:noWrap/>
            <w:vAlign w:val="center"/>
            <w:hideMark/>
          </w:tcPr>
          <w:p w:rsidR="00DB05A5" w:rsidRPr="00E6522E" w:rsidRDefault="00A21683" w:rsidP="00DB05A5">
            <w:pPr>
              <w:spacing w:after="0" w:line="240" w:lineRule="auto"/>
              <w:jc w:val="center"/>
              <w:rPr>
                <w:rFonts w:eastAsia="Times New Roman" w:cstheme="minorHAnsi"/>
                <w:b/>
                <w:bCs/>
                <w:sz w:val="18"/>
                <w:szCs w:val="18"/>
              </w:rPr>
            </w:pPr>
            <w:r w:rsidRPr="00E6522E">
              <w:rPr>
                <w:rFonts w:eastAsia="Times New Roman" w:cstheme="minorHAnsi"/>
                <w:b/>
                <w:bCs/>
                <w:sz w:val="18"/>
                <w:szCs w:val="18"/>
              </w:rPr>
              <w:t>Forecast</w:t>
            </w:r>
          </w:p>
        </w:tc>
        <w:tc>
          <w:tcPr>
            <w:tcW w:w="750" w:type="pct"/>
            <w:tcBorders>
              <w:top w:val="nil"/>
              <w:left w:val="nil"/>
              <w:bottom w:val="single" w:sz="4" w:space="0" w:color="auto"/>
              <w:right w:val="single" w:sz="4" w:space="0" w:color="auto"/>
            </w:tcBorders>
            <w:shd w:val="clear" w:color="auto" w:fill="auto"/>
            <w:noWrap/>
            <w:vAlign w:val="center"/>
            <w:hideMark/>
          </w:tcPr>
          <w:p w:rsidR="00DB05A5" w:rsidRPr="00E6522E" w:rsidRDefault="00A21683" w:rsidP="00DB05A5">
            <w:pPr>
              <w:spacing w:after="0" w:line="240" w:lineRule="auto"/>
              <w:jc w:val="center"/>
              <w:rPr>
                <w:rFonts w:eastAsia="Times New Roman" w:cstheme="minorHAnsi"/>
                <w:b/>
                <w:bCs/>
                <w:sz w:val="18"/>
                <w:szCs w:val="18"/>
              </w:rPr>
            </w:pPr>
            <w:r w:rsidRPr="00E6522E">
              <w:rPr>
                <w:rFonts w:eastAsia="Times New Roman" w:cstheme="minorHAnsi"/>
                <w:b/>
                <w:bCs/>
                <w:sz w:val="18"/>
                <w:szCs w:val="18"/>
              </w:rPr>
              <w:t>Forecast</w:t>
            </w:r>
          </w:p>
        </w:tc>
        <w:tc>
          <w:tcPr>
            <w:tcW w:w="750" w:type="pct"/>
            <w:tcBorders>
              <w:top w:val="nil"/>
              <w:left w:val="nil"/>
              <w:bottom w:val="single" w:sz="4" w:space="0" w:color="auto"/>
              <w:right w:val="single" w:sz="4" w:space="0" w:color="auto"/>
            </w:tcBorders>
            <w:shd w:val="clear" w:color="auto" w:fill="auto"/>
            <w:noWrap/>
            <w:vAlign w:val="center"/>
            <w:hideMark/>
          </w:tcPr>
          <w:p w:rsidR="00DB05A5" w:rsidRPr="00E6522E" w:rsidRDefault="00A21683" w:rsidP="00DB05A5">
            <w:pPr>
              <w:spacing w:after="0" w:line="240" w:lineRule="auto"/>
              <w:jc w:val="center"/>
              <w:rPr>
                <w:rFonts w:eastAsia="Times New Roman" w:cstheme="minorHAnsi"/>
                <w:b/>
                <w:bCs/>
                <w:sz w:val="18"/>
                <w:szCs w:val="18"/>
              </w:rPr>
            </w:pPr>
            <w:r w:rsidRPr="00E6522E">
              <w:rPr>
                <w:rFonts w:eastAsia="Times New Roman" w:cstheme="minorHAnsi"/>
                <w:b/>
                <w:bCs/>
                <w:sz w:val="18"/>
                <w:szCs w:val="18"/>
              </w:rPr>
              <w:t>Forecast</w:t>
            </w:r>
          </w:p>
        </w:tc>
        <w:tc>
          <w:tcPr>
            <w:tcW w:w="750" w:type="pct"/>
            <w:tcBorders>
              <w:top w:val="nil"/>
              <w:left w:val="nil"/>
              <w:bottom w:val="single" w:sz="4" w:space="0" w:color="auto"/>
              <w:right w:val="single" w:sz="4" w:space="0" w:color="auto"/>
            </w:tcBorders>
            <w:shd w:val="clear" w:color="000000" w:fill="FDE9D9"/>
            <w:noWrap/>
            <w:vAlign w:val="center"/>
            <w:hideMark/>
          </w:tcPr>
          <w:p w:rsidR="00DB05A5" w:rsidRPr="00E6522E" w:rsidRDefault="00A21683" w:rsidP="00DB05A5">
            <w:pPr>
              <w:spacing w:after="0" w:line="240" w:lineRule="auto"/>
              <w:jc w:val="center"/>
              <w:rPr>
                <w:rFonts w:eastAsia="Times New Roman" w:cstheme="minorHAnsi"/>
                <w:b/>
                <w:bCs/>
                <w:sz w:val="18"/>
                <w:szCs w:val="18"/>
              </w:rPr>
            </w:pPr>
            <w:r w:rsidRPr="00E6522E">
              <w:rPr>
                <w:rFonts w:eastAsia="Times New Roman" w:cstheme="minorHAnsi"/>
                <w:b/>
                <w:bCs/>
                <w:sz w:val="18"/>
                <w:szCs w:val="18"/>
              </w:rPr>
              <w:t>Forecast</w:t>
            </w:r>
          </w:p>
        </w:tc>
      </w:tr>
      <w:tr w:rsidR="00F20410" w:rsidRPr="00E6522E" w:rsidTr="00E6522E">
        <w:trPr>
          <w:trHeight w:val="113"/>
        </w:trPr>
        <w:tc>
          <w:tcPr>
            <w:tcW w:w="1250" w:type="pct"/>
            <w:tcBorders>
              <w:top w:val="nil"/>
              <w:left w:val="single" w:sz="4" w:space="0" w:color="auto"/>
              <w:bottom w:val="single" w:sz="4" w:space="0" w:color="auto"/>
              <w:right w:val="single" w:sz="4" w:space="0" w:color="auto"/>
            </w:tcBorders>
            <w:shd w:val="clear" w:color="000000" w:fill="FDE9D9"/>
            <w:vAlign w:val="center"/>
            <w:hideMark/>
          </w:tcPr>
          <w:p w:rsidR="00F20410" w:rsidRPr="00E6522E" w:rsidRDefault="001D7123" w:rsidP="00F20410">
            <w:pPr>
              <w:spacing w:after="0" w:line="240" w:lineRule="auto"/>
              <w:rPr>
                <w:rFonts w:eastAsia="Times New Roman" w:cstheme="minorHAnsi"/>
                <w:b/>
                <w:bCs/>
                <w:sz w:val="18"/>
                <w:szCs w:val="20"/>
              </w:rPr>
            </w:pPr>
            <w:r w:rsidRPr="00E6522E">
              <w:rPr>
                <w:rFonts w:eastAsia="Times New Roman" w:cstheme="minorHAnsi"/>
                <w:b/>
                <w:bCs/>
                <w:sz w:val="18"/>
                <w:szCs w:val="20"/>
              </w:rPr>
              <w:t>Expenditures</w:t>
            </w:r>
          </w:p>
        </w:tc>
        <w:tc>
          <w:tcPr>
            <w:tcW w:w="3750" w:type="pct"/>
            <w:gridSpan w:val="5"/>
            <w:tcBorders>
              <w:top w:val="single" w:sz="4" w:space="0" w:color="auto"/>
              <w:left w:val="nil"/>
              <w:bottom w:val="single" w:sz="4" w:space="0" w:color="auto"/>
              <w:right w:val="single" w:sz="4" w:space="0" w:color="auto"/>
            </w:tcBorders>
            <w:shd w:val="clear" w:color="000000" w:fill="FDE9D9"/>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 </w:t>
            </w:r>
          </w:p>
        </w:tc>
      </w:tr>
      <w:tr w:rsidR="00F20410" w:rsidRPr="00E6522E" w:rsidTr="00E6522E">
        <w:trPr>
          <w:trHeight w:val="113"/>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F20410" w:rsidRPr="00E6522E" w:rsidRDefault="00F20410" w:rsidP="00F20410">
            <w:pPr>
              <w:spacing w:after="0" w:line="240" w:lineRule="auto"/>
              <w:rPr>
                <w:rFonts w:eastAsia="Times New Roman" w:cstheme="minorHAnsi"/>
                <w:sz w:val="18"/>
                <w:szCs w:val="20"/>
              </w:rPr>
            </w:pPr>
            <w:r w:rsidRPr="00E6522E">
              <w:rPr>
                <w:rFonts w:eastAsia="Times New Roman" w:cstheme="minorHAnsi"/>
                <w:sz w:val="18"/>
                <w:szCs w:val="20"/>
              </w:rPr>
              <w:t xml:space="preserve">2019-2022 </w:t>
            </w:r>
            <w:r w:rsidR="00A21683" w:rsidRPr="00E6522E">
              <w:rPr>
                <w:rFonts w:eastAsia="Times New Roman" w:cstheme="minorHAnsi"/>
                <w:sz w:val="18"/>
                <w:szCs w:val="20"/>
              </w:rPr>
              <w:t>Forecast</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10 326,0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10 710,0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10 979,0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11 835,0</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 </w:t>
            </w:r>
          </w:p>
        </w:tc>
      </w:tr>
      <w:tr w:rsidR="00F20410" w:rsidRPr="00E6522E" w:rsidTr="00E6522E">
        <w:trPr>
          <w:trHeight w:val="113"/>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F20410" w:rsidRPr="00E6522E" w:rsidRDefault="00F20410" w:rsidP="00F20410">
            <w:pPr>
              <w:spacing w:after="0" w:line="240" w:lineRule="auto"/>
              <w:rPr>
                <w:rFonts w:eastAsia="Times New Roman" w:cstheme="minorHAnsi"/>
                <w:sz w:val="18"/>
                <w:szCs w:val="20"/>
              </w:rPr>
            </w:pPr>
            <w:r w:rsidRPr="00E6522E">
              <w:rPr>
                <w:rFonts w:eastAsia="Times New Roman" w:cstheme="minorHAnsi"/>
                <w:sz w:val="18"/>
                <w:szCs w:val="20"/>
              </w:rPr>
              <w:t xml:space="preserve">2020-2023 </w:t>
            </w:r>
            <w:r w:rsidR="00A21683" w:rsidRPr="00E6522E">
              <w:rPr>
                <w:rFonts w:eastAsia="Times New Roman" w:cstheme="minorHAnsi"/>
                <w:sz w:val="18"/>
                <w:szCs w:val="20"/>
              </w:rPr>
              <w:t>Forecast</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10 432,0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11 410,0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12 394,0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13 430,0</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14 622,0</w:t>
            </w:r>
          </w:p>
        </w:tc>
      </w:tr>
      <w:tr w:rsidR="00F20410" w:rsidRPr="00E6522E" w:rsidTr="00E6522E">
        <w:trPr>
          <w:trHeight w:val="113"/>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F20410" w:rsidRPr="00E6522E" w:rsidRDefault="00A21683" w:rsidP="00F20410">
            <w:pPr>
              <w:spacing w:after="0" w:line="240" w:lineRule="auto"/>
              <w:rPr>
                <w:rFonts w:eastAsia="Times New Roman" w:cstheme="minorHAnsi"/>
                <w:sz w:val="18"/>
                <w:szCs w:val="20"/>
              </w:rPr>
            </w:pPr>
            <w:r w:rsidRPr="00E6522E">
              <w:rPr>
                <w:rFonts w:eastAsia="Times New Roman" w:cstheme="minorHAnsi"/>
                <w:sz w:val="18"/>
                <w:szCs w:val="20"/>
              </w:rPr>
              <w:t>Difference</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106,0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700,0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1 415,0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1 595,0</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 </w:t>
            </w:r>
          </w:p>
        </w:tc>
      </w:tr>
      <w:tr w:rsidR="00F20410" w:rsidRPr="00E6522E" w:rsidTr="00E6522E">
        <w:trPr>
          <w:trHeight w:val="113"/>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 </w:t>
            </w:r>
          </w:p>
        </w:tc>
      </w:tr>
      <w:tr w:rsidR="00F20410" w:rsidRPr="00E6522E" w:rsidTr="00E6522E">
        <w:trPr>
          <w:trHeight w:val="113"/>
        </w:trPr>
        <w:tc>
          <w:tcPr>
            <w:tcW w:w="1250" w:type="pct"/>
            <w:tcBorders>
              <w:top w:val="nil"/>
              <w:left w:val="single" w:sz="4" w:space="0" w:color="auto"/>
              <w:bottom w:val="single" w:sz="4" w:space="0" w:color="auto"/>
              <w:right w:val="single" w:sz="4" w:space="0" w:color="auto"/>
            </w:tcBorders>
            <w:shd w:val="clear" w:color="000000" w:fill="FDE9D9"/>
            <w:vAlign w:val="center"/>
            <w:hideMark/>
          </w:tcPr>
          <w:p w:rsidR="00F20410" w:rsidRPr="00E6522E" w:rsidRDefault="001D7123" w:rsidP="00F20410">
            <w:pPr>
              <w:spacing w:after="0" w:line="240" w:lineRule="auto"/>
              <w:rPr>
                <w:rFonts w:eastAsia="Times New Roman" w:cstheme="minorHAnsi"/>
                <w:b/>
                <w:bCs/>
                <w:sz w:val="18"/>
                <w:szCs w:val="20"/>
              </w:rPr>
            </w:pPr>
            <w:r w:rsidRPr="00E6522E">
              <w:rPr>
                <w:rFonts w:eastAsia="Times New Roman" w:cstheme="minorHAnsi"/>
                <w:b/>
                <w:bCs/>
                <w:sz w:val="18"/>
                <w:szCs w:val="20"/>
              </w:rPr>
              <w:t>Capital Expenditures</w:t>
            </w:r>
          </w:p>
        </w:tc>
        <w:tc>
          <w:tcPr>
            <w:tcW w:w="3750" w:type="pct"/>
            <w:gridSpan w:val="5"/>
            <w:tcBorders>
              <w:top w:val="single" w:sz="4" w:space="0" w:color="auto"/>
              <w:left w:val="nil"/>
              <w:bottom w:val="single" w:sz="4" w:space="0" w:color="auto"/>
              <w:right w:val="single" w:sz="4" w:space="0" w:color="auto"/>
            </w:tcBorders>
            <w:shd w:val="clear" w:color="000000" w:fill="FDE9D9"/>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 </w:t>
            </w:r>
          </w:p>
        </w:tc>
      </w:tr>
      <w:tr w:rsidR="00F20410" w:rsidRPr="00E6522E" w:rsidTr="00E6522E">
        <w:trPr>
          <w:trHeight w:val="113"/>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F20410" w:rsidRPr="00E6522E" w:rsidRDefault="001D7123" w:rsidP="00F20410">
            <w:pPr>
              <w:spacing w:after="0" w:line="240" w:lineRule="auto"/>
              <w:rPr>
                <w:rFonts w:eastAsia="Times New Roman" w:cstheme="minorHAnsi"/>
                <w:b/>
                <w:sz w:val="18"/>
                <w:szCs w:val="20"/>
              </w:rPr>
            </w:pPr>
            <w:r w:rsidRPr="00E6522E">
              <w:rPr>
                <w:rFonts w:eastAsia="Times New Roman" w:cstheme="minorHAnsi"/>
                <w:b/>
                <w:sz w:val="18"/>
                <w:szCs w:val="20"/>
              </w:rPr>
              <w:t>Increase in Non-Financial Assets</w:t>
            </w:r>
          </w:p>
        </w:tc>
        <w:tc>
          <w:tcPr>
            <w:tcW w:w="3750" w:type="pct"/>
            <w:gridSpan w:val="5"/>
            <w:tcBorders>
              <w:top w:val="single" w:sz="4" w:space="0" w:color="auto"/>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 </w:t>
            </w:r>
          </w:p>
        </w:tc>
      </w:tr>
      <w:tr w:rsidR="00F20410" w:rsidRPr="00E6522E" w:rsidTr="00E6522E">
        <w:trPr>
          <w:trHeight w:val="113"/>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F20410" w:rsidRPr="00E6522E" w:rsidRDefault="00F20410" w:rsidP="00F20410">
            <w:pPr>
              <w:spacing w:after="0" w:line="240" w:lineRule="auto"/>
              <w:rPr>
                <w:rFonts w:eastAsia="Times New Roman" w:cstheme="minorHAnsi"/>
                <w:sz w:val="18"/>
                <w:szCs w:val="20"/>
              </w:rPr>
            </w:pPr>
            <w:r w:rsidRPr="00E6522E">
              <w:rPr>
                <w:rFonts w:eastAsia="Times New Roman" w:cstheme="minorHAnsi"/>
                <w:sz w:val="18"/>
                <w:szCs w:val="20"/>
              </w:rPr>
              <w:t xml:space="preserve">2019-2022 </w:t>
            </w:r>
            <w:r w:rsidR="00A21683" w:rsidRPr="00E6522E">
              <w:rPr>
                <w:rFonts w:eastAsia="Times New Roman" w:cstheme="minorHAnsi"/>
                <w:sz w:val="18"/>
                <w:szCs w:val="20"/>
              </w:rPr>
              <w:t>Forecast</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3 372,0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3 840,0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4 430,0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4 790,0</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 </w:t>
            </w:r>
          </w:p>
        </w:tc>
      </w:tr>
      <w:tr w:rsidR="00F20410" w:rsidRPr="00E6522E" w:rsidTr="00E6522E">
        <w:trPr>
          <w:trHeight w:val="113"/>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F20410" w:rsidRPr="00E6522E" w:rsidRDefault="00F20410" w:rsidP="00F20410">
            <w:pPr>
              <w:spacing w:after="0" w:line="240" w:lineRule="auto"/>
              <w:rPr>
                <w:rFonts w:eastAsia="Times New Roman" w:cstheme="minorHAnsi"/>
                <w:sz w:val="18"/>
                <w:szCs w:val="20"/>
              </w:rPr>
            </w:pPr>
            <w:r w:rsidRPr="00E6522E">
              <w:rPr>
                <w:rFonts w:eastAsia="Times New Roman" w:cstheme="minorHAnsi"/>
                <w:sz w:val="18"/>
                <w:szCs w:val="20"/>
              </w:rPr>
              <w:t xml:space="preserve">2020-2023 </w:t>
            </w:r>
            <w:r w:rsidR="00A21683" w:rsidRPr="00E6522E">
              <w:rPr>
                <w:rFonts w:eastAsia="Times New Roman" w:cstheme="minorHAnsi"/>
                <w:sz w:val="18"/>
                <w:szCs w:val="20"/>
              </w:rPr>
              <w:t>Forecast</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3 480,0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3 689,0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3 800,0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3 990,0</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4 160,0</w:t>
            </w:r>
          </w:p>
        </w:tc>
      </w:tr>
      <w:tr w:rsidR="00F20410" w:rsidRPr="00E6522E" w:rsidTr="00E6522E">
        <w:trPr>
          <w:trHeight w:val="113"/>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F20410" w:rsidRPr="00E6522E" w:rsidRDefault="00A21683" w:rsidP="00F20410">
            <w:pPr>
              <w:spacing w:after="0" w:line="240" w:lineRule="auto"/>
              <w:rPr>
                <w:rFonts w:eastAsia="Times New Roman" w:cstheme="minorHAnsi"/>
                <w:sz w:val="18"/>
                <w:szCs w:val="20"/>
              </w:rPr>
            </w:pPr>
            <w:r w:rsidRPr="00E6522E">
              <w:rPr>
                <w:rFonts w:eastAsia="Times New Roman" w:cstheme="minorHAnsi"/>
                <w:sz w:val="18"/>
                <w:szCs w:val="20"/>
              </w:rPr>
              <w:t>Difference</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108</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-151</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-630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-800</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 </w:t>
            </w:r>
          </w:p>
        </w:tc>
      </w:tr>
      <w:tr w:rsidR="00F20410" w:rsidRPr="00E6522E" w:rsidTr="00E6522E">
        <w:trPr>
          <w:trHeight w:val="113"/>
        </w:trPr>
        <w:tc>
          <w:tcPr>
            <w:tcW w:w="1250" w:type="pct"/>
            <w:tcBorders>
              <w:top w:val="nil"/>
              <w:left w:val="single" w:sz="4" w:space="0" w:color="auto"/>
              <w:bottom w:val="single" w:sz="4" w:space="0" w:color="auto"/>
              <w:right w:val="single" w:sz="4" w:space="0" w:color="auto"/>
            </w:tcBorders>
            <w:shd w:val="clear" w:color="000000" w:fill="FDE9D9"/>
            <w:vAlign w:val="center"/>
            <w:hideMark/>
          </w:tcPr>
          <w:p w:rsidR="00F20410" w:rsidRPr="00E6522E" w:rsidRDefault="001D7123" w:rsidP="00F20410">
            <w:pPr>
              <w:spacing w:after="0" w:line="240" w:lineRule="auto"/>
              <w:rPr>
                <w:rFonts w:eastAsia="Times New Roman" w:cstheme="minorHAnsi"/>
                <w:b/>
                <w:bCs/>
                <w:sz w:val="18"/>
                <w:szCs w:val="20"/>
              </w:rPr>
            </w:pPr>
            <w:r w:rsidRPr="00E6522E">
              <w:rPr>
                <w:rFonts w:eastAsia="Times New Roman" w:cstheme="minorHAnsi"/>
                <w:b/>
                <w:sz w:val="18"/>
                <w:szCs w:val="20"/>
              </w:rPr>
              <w:t>Increase in Financial Assets</w:t>
            </w:r>
          </w:p>
        </w:tc>
        <w:tc>
          <w:tcPr>
            <w:tcW w:w="3750" w:type="pct"/>
            <w:gridSpan w:val="5"/>
            <w:tcBorders>
              <w:top w:val="single" w:sz="4" w:space="0" w:color="auto"/>
              <w:left w:val="nil"/>
              <w:bottom w:val="single" w:sz="4" w:space="0" w:color="auto"/>
              <w:right w:val="single" w:sz="4" w:space="0" w:color="auto"/>
            </w:tcBorders>
            <w:shd w:val="clear" w:color="000000" w:fill="FDE9D9"/>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 </w:t>
            </w:r>
          </w:p>
        </w:tc>
      </w:tr>
      <w:tr w:rsidR="00F20410" w:rsidRPr="00E6522E" w:rsidTr="00E6522E">
        <w:trPr>
          <w:trHeight w:val="113"/>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F20410" w:rsidRPr="00E6522E" w:rsidRDefault="00F20410" w:rsidP="00F20410">
            <w:pPr>
              <w:spacing w:after="0" w:line="240" w:lineRule="auto"/>
              <w:rPr>
                <w:rFonts w:eastAsia="Times New Roman" w:cstheme="minorHAnsi"/>
                <w:sz w:val="18"/>
                <w:szCs w:val="20"/>
              </w:rPr>
            </w:pPr>
            <w:r w:rsidRPr="00E6522E">
              <w:rPr>
                <w:rFonts w:eastAsia="Times New Roman" w:cstheme="minorHAnsi"/>
                <w:sz w:val="18"/>
                <w:szCs w:val="20"/>
              </w:rPr>
              <w:t xml:space="preserve">2019-2022 </w:t>
            </w:r>
            <w:r w:rsidR="00A21683" w:rsidRPr="00E6522E">
              <w:rPr>
                <w:rFonts w:eastAsia="Times New Roman" w:cstheme="minorHAnsi"/>
                <w:sz w:val="18"/>
                <w:szCs w:val="20"/>
              </w:rPr>
              <w:t>Forecast</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323,0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290,0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410,0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390,0</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 </w:t>
            </w:r>
          </w:p>
        </w:tc>
      </w:tr>
      <w:tr w:rsidR="00F20410" w:rsidRPr="00E6522E" w:rsidTr="00E6522E">
        <w:trPr>
          <w:trHeight w:val="113"/>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F20410" w:rsidRPr="00E6522E" w:rsidRDefault="00F20410" w:rsidP="00F20410">
            <w:pPr>
              <w:spacing w:after="0" w:line="240" w:lineRule="auto"/>
              <w:rPr>
                <w:rFonts w:eastAsia="Times New Roman" w:cstheme="minorHAnsi"/>
                <w:sz w:val="18"/>
                <w:szCs w:val="20"/>
              </w:rPr>
            </w:pPr>
            <w:r w:rsidRPr="00E6522E">
              <w:rPr>
                <w:rFonts w:eastAsia="Times New Roman" w:cstheme="minorHAnsi"/>
                <w:sz w:val="18"/>
                <w:szCs w:val="20"/>
              </w:rPr>
              <w:t xml:space="preserve">2020-2023 </w:t>
            </w:r>
            <w:r w:rsidR="00A21683" w:rsidRPr="00E6522E">
              <w:rPr>
                <w:rFonts w:eastAsia="Times New Roman" w:cstheme="minorHAnsi"/>
                <w:sz w:val="18"/>
                <w:szCs w:val="20"/>
              </w:rPr>
              <w:t>Forecast</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230,0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177,0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360,0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360,0</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340,0</w:t>
            </w:r>
          </w:p>
        </w:tc>
      </w:tr>
      <w:tr w:rsidR="00F20410" w:rsidRPr="00E6522E" w:rsidTr="00E6522E">
        <w:trPr>
          <w:trHeight w:val="113"/>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F20410" w:rsidRPr="00E6522E" w:rsidRDefault="00A21683" w:rsidP="00F20410">
            <w:pPr>
              <w:spacing w:after="0" w:line="240" w:lineRule="auto"/>
              <w:rPr>
                <w:rFonts w:eastAsia="Times New Roman" w:cstheme="minorHAnsi"/>
                <w:sz w:val="18"/>
                <w:szCs w:val="20"/>
              </w:rPr>
            </w:pPr>
            <w:r w:rsidRPr="00E6522E">
              <w:rPr>
                <w:rFonts w:eastAsia="Times New Roman" w:cstheme="minorHAnsi"/>
                <w:sz w:val="18"/>
                <w:szCs w:val="20"/>
              </w:rPr>
              <w:t>Difference</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-93,0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-113,0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-50,0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-30,0</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340,0</w:t>
            </w:r>
          </w:p>
        </w:tc>
      </w:tr>
      <w:tr w:rsidR="00F20410" w:rsidRPr="00E6522E" w:rsidTr="00E6522E">
        <w:trPr>
          <w:trHeight w:val="113"/>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 </w:t>
            </w:r>
          </w:p>
        </w:tc>
      </w:tr>
      <w:tr w:rsidR="00F20410" w:rsidRPr="00E6522E" w:rsidTr="00E6522E">
        <w:trPr>
          <w:trHeight w:val="113"/>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20410" w:rsidRPr="00E6522E" w:rsidRDefault="006D3986" w:rsidP="00F20410">
            <w:pPr>
              <w:spacing w:after="0" w:line="240" w:lineRule="auto"/>
              <w:jc w:val="center"/>
              <w:rPr>
                <w:rFonts w:eastAsia="Times New Roman" w:cstheme="minorHAnsi"/>
                <w:b/>
                <w:bCs/>
                <w:sz w:val="18"/>
                <w:szCs w:val="20"/>
              </w:rPr>
            </w:pPr>
            <w:r w:rsidRPr="00E6522E">
              <w:rPr>
                <w:rFonts w:eastAsia="Times New Roman" w:cstheme="minorHAnsi"/>
                <w:b/>
                <w:sz w:val="18"/>
                <w:szCs w:val="18"/>
              </w:rPr>
              <w:t>% of GDP</w:t>
            </w:r>
          </w:p>
        </w:tc>
      </w:tr>
      <w:tr w:rsidR="00F20410" w:rsidRPr="00E6522E" w:rsidTr="00E6522E">
        <w:trPr>
          <w:trHeight w:val="113"/>
        </w:trPr>
        <w:tc>
          <w:tcPr>
            <w:tcW w:w="1250" w:type="pct"/>
            <w:tcBorders>
              <w:top w:val="nil"/>
              <w:left w:val="single" w:sz="4" w:space="0" w:color="auto"/>
              <w:bottom w:val="single" w:sz="4" w:space="0" w:color="auto"/>
              <w:right w:val="single" w:sz="4" w:space="0" w:color="auto"/>
            </w:tcBorders>
            <w:shd w:val="clear" w:color="000000" w:fill="FDE9D9"/>
            <w:vAlign w:val="center"/>
            <w:hideMark/>
          </w:tcPr>
          <w:p w:rsidR="00F20410" w:rsidRPr="00E6522E" w:rsidRDefault="001D7123" w:rsidP="00F20410">
            <w:pPr>
              <w:spacing w:after="0" w:line="240" w:lineRule="auto"/>
              <w:rPr>
                <w:rFonts w:eastAsia="Times New Roman" w:cstheme="minorHAnsi"/>
                <w:b/>
                <w:bCs/>
                <w:sz w:val="18"/>
                <w:szCs w:val="20"/>
              </w:rPr>
            </w:pPr>
            <w:r w:rsidRPr="00E6522E">
              <w:rPr>
                <w:rFonts w:eastAsia="Times New Roman" w:cstheme="minorHAnsi"/>
                <w:b/>
                <w:bCs/>
                <w:sz w:val="18"/>
                <w:szCs w:val="20"/>
              </w:rPr>
              <w:t>Expenditures</w:t>
            </w:r>
          </w:p>
        </w:tc>
        <w:tc>
          <w:tcPr>
            <w:tcW w:w="3750" w:type="pct"/>
            <w:gridSpan w:val="5"/>
            <w:tcBorders>
              <w:top w:val="single" w:sz="4" w:space="0" w:color="auto"/>
              <w:left w:val="nil"/>
              <w:bottom w:val="single" w:sz="4" w:space="0" w:color="auto"/>
              <w:right w:val="single" w:sz="4" w:space="0" w:color="auto"/>
            </w:tcBorders>
            <w:shd w:val="clear" w:color="000000" w:fill="FDE9D9"/>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 </w:t>
            </w:r>
          </w:p>
        </w:tc>
      </w:tr>
      <w:tr w:rsidR="00F20410" w:rsidRPr="00E6522E" w:rsidTr="00E6522E">
        <w:trPr>
          <w:trHeight w:val="113"/>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F20410" w:rsidRPr="00E6522E" w:rsidRDefault="00F20410" w:rsidP="00F20410">
            <w:pPr>
              <w:spacing w:after="0" w:line="240" w:lineRule="auto"/>
              <w:rPr>
                <w:rFonts w:eastAsia="Times New Roman" w:cstheme="minorHAnsi"/>
                <w:sz w:val="18"/>
                <w:szCs w:val="20"/>
              </w:rPr>
            </w:pPr>
            <w:r w:rsidRPr="00E6522E">
              <w:rPr>
                <w:rFonts w:eastAsia="Times New Roman" w:cstheme="minorHAnsi"/>
                <w:sz w:val="18"/>
                <w:szCs w:val="20"/>
              </w:rPr>
              <w:t xml:space="preserve">2019-2022 </w:t>
            </w:r>
            <w:r w:rsidR="00A21683" w:rsidRPr="00E6522E">
              <w:rPr>
                <w:rFonts w:eastAsia="Times New Roman" w:cstheme="minorHAnsi"/>
                <w:sz w:val="18"/>
                <w:szCs w:val="20"/>
              </w:rPr>
              <w:t>Forecast</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23,0%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22,0%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20,8%</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20,5%</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 </w:t>
            </w:r>
          </w:p>
        </w:tc>
      </w:tr>
      <w:tr w:rsidR="00F20410" w:rsidRPr="00E6522E" w:rsidTr="00E6522E">
        <w:trPr>
          <w:trHeight w:val="113"/>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F20410" w:rsidRPr="00E6522E" w:rsidRDefault="00F20410" w:rsidP="00F20410">
            <w:pPr>
              <w:spacing w:after="0" w:line="240" w:lineRule="auto"/>
              <w:rPr>
                <w:rFonts w:eastAsia="Times New Roman" w:cstheme="minorHAnsi"/>
                <w:sz w:val="18"/>
                <w:szCs w:val="20"/>
              </w:rPr>
            </w:pPr>
            <w:r w:rsidRPr="00E6522E">
              <w:rPr>
                <w:rFonts w:eastAsia="Times New Roman" w:cstheme="minorHAnsi"/>
                <w:sz w:val="18"/>
                <w:szCs w:val="20"/>
              </w:rPr>
              <w:t>2020-2023</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21,3%</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21,5%</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21,6%</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21,6%</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21,7%</w:t>
            </w:r>
          </w:p>
        </w:tc>
      </w:tr>
      <w:tr w:rsidR="00F20410" w:rsidRPr="00E6522E" w:rsidTr="00E6522E">
        <w:trPr>
          <w:trHeight w:val="113"/>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F20410" w:rsidRPr="00E6522E" w:rsidRDefault="00A21683" w:rsidP="00F20410">
            <w:pPr>
              <w:spacing w:after="0" w:line="240" w:lineRule="auto"/>
              <w:rPr>
                <w:rFonts w:eastAsia="Times New Roman" w:cstheme="minorHAnsi"/>
                <w:sz w:val="18"/>
                <w:szCs w:val="20"/>
              </w:rPr>
            </w:pPr>
            <w:r w:rsidRPr="00E6522E">
              <w:rPr>
                <w:rFonts w:eastAsia="Times New Roman" w:cstheme="minorHAnsi"/>
                <w:sz w:val="18"/>
                <w:szCs w:val="20"/>
              </w:rPr>
              <w:t>Difference</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-1,7%</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-0,6%</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0,8%</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1,1%</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 </w:t>
            </w:r>
          </w:p>
        </w:tc>
      </w:tr>
      <w:tr w:rsidR="00F20410" w:rsidRPr="00E6522E" w:rsidTr="00E6522E">
        <w:trPr>
          <w:trHeight w:val="113"/>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 </w:t>
            </w:r>
          </w:p>
        </w:tc>
      </w:tr>
      <w:tr w:rsidR="00F20410" w:rsidRPr="00E6522E" w:rsidTr="00E6522E">
        <w:trPr>
          <w:trHeight w:val="113"/>
        </w:trPr>
        <w:tc>
          <w:tcPr>
            <w:tcW w:w="1250" w:type="pct"/>
            <w:tcBorders>
              <w:top w:val="nil"/>
              <w:left w:val="single" w:sz="4" w:space="0" w:color="auto"/>
              <w:bottom w:val="single" w:sz="4" w:space="0" w:color="auto"/>
              <w:right w:val="single" w:sz="4" w:space="0" w:color="auto"/>
            </w:tcBorders>
            <w:shd w:val="clear" w:color="000000" w:fill="FDE9D9"/>
            <w:vAlign w:val="center"/>
            <w:hideMark/>
          </w:tcPr>
          <w:p w:rsidR="00F20410" w:rsidRPr="00E6522E" w:rsidRDefault="001D7123" w:rsidP="00F20410">
            <w:pPr>
              <w:spacing w:after="0" w:line="240" w:lineRule="auto"/>
              <w:rPr>
                <w:rFonts w:eastAsia="Times New Roman" w:cstheme="minorHAnsi"/>
                <w:b/>
                <w:bCs/>
                <w:sz w:val="18"/>
                <w:szCs w:val="20"/>
              </w:rPr>
            </w:pPr>
            <w:r w:rsidRPr="00E6522E">
              <w:rPr>
                <w:rFonts w:eastAsia="Times New Roman" w:cstheme="minorHAnsi"/>
                <w:b/>
                <w:bCs/>
                <w:sz w:val="18"/>
                <w:szCs w:val="20"/>
              </w:rPr>
              <w:t>Capital Expenditures</w:t>
            </w:r>
          </w:p>
        </w:tc>
        <w:tc>
          <w:tcPr>
            <w:tcW w:w="3750" w:type="pct"/>
            <w:gridSpan w:val="5"/>
            <w:tcBorders>
              <w:top w:val="single" w:sz="4" w:space="0" w:color="auto"/>
              <w:left w:val="nil"/>
              <w:bottom w:val="single" w:sz="4" w:space="0" w:color="auto"/>
              <w:right w:val="single" w:sz="4" w:space="0" w:color="auto"/>
            </w:tcBorders>
            <w:shd w:val="clear" w:color="000000" w:fill="FDE9D9"/>
            <w:noWrap/>
            <w:vAlign w:val="center"/>
            <w:hideMark/>
          </w:tcPr>
          <w:p w:rsidR="00F20410" w:rsidRPr="00E6522E" w:rsidRDefault="00F20410" w:rsidP="00F20410">
            <w:pPr>
              <w:spacing w:after="0" w:line="240" w:lineRule="auto"/>
              <w:rPr>
                <w:rFonts w:eastAsia="Times New Roman" w:cstheme="minorHAnsi"/>
                <w:sz w:val="18"/>
                <w:szCs w:val="20"/>
              </w:rPr>
            </w:pPr>
            <w:r w:rsidRPr="00E6522E">
              <w:rPr>
                <w:rFonts w:eastAsia="Times New Roman" w:cstheme="minorHAnsi"/>
                <w:sz w:val="18"/>
                <w:szCs w:val="20"/>
              </w:rPr>
              <w:t> </w:t>
            </w:r>
          </w:p>
        </w:tc>
      </w:tr>
      <w:tr w:rsidR="00F20410" w:rsidRPr="00E6522E" w:rsidTr="00E6522E">
        <w:trPr>
          <w:trHeight w:val="113"/>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F20410" w:rsidRPr="00E6522E" w:rsidRDefault="001D7123" w:rsidP="00F20410">
            <w:pPr>
              <w:spacing w:after="0" w:line="240" w:lineRule="auto"/>
              <w:rPr>
                <w:rFonts w:eastAsia="Times New Roman" w:cstheme="minorHAnsi"/>
                <w:b/>
                <w:sz w:val="18"/>
                <w:szCs w:val="20"/>
              </w:rPr>
            </w:pPr>
            <w:r w:rsidRPr="00E6522E">
              <w:rPr>
                <w:rFonts w:eastAsia="Times New Roman" w:cstheme="minorHAnsi"/>
                <w:b/>
                <w:sz w:val="18"/>
                <w:szCs w:val="20"/>
              </w:rPr>
              <w:t>Increase in Non-Financial Assets</w:t>
            </w:r>
          </w:p>
        </w:tc>
        <w:tc>
          <w:tcPr>
            <w:tcW w:w="3750" w:type="pct"/>
            <w:gridSpan w:val="5"/>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rPr>
                <w:rFonts w:eastAsia="Times New Roman" w:cstheme="minorHAnsi"/>
                <w:sz w:val="18"/>
                <w:szCs w:val="20"/>
              </w:rPr>
            </w:pPr>
            <w:r w:rsidRPr="00E6522E">
              <w:rPr>
                <w:rFonts w:eastAsia="Times New Roman" w:cstheme="minorHAnsi"/>
                <w:sz w:val="18"/>
                <w:szCs w:val="20"/>
              </w:rPr>
              <w:t> </w:t>
            </w:r>
          </w:p>
        </w:tc>
      </w:tr>
      <w:tr w:rsidR="00F20410" w:rsidRPr="00E6522E" w:rsidTr="00E6522E">
        <w:trPr>
          <w:trHeight w:val="113"/>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F20410" w:rsidRPr="00E6522E" w:rsidRDefault="00F20410" w:rsidP="00F20410">
            <w:pPr>
              <w:spacing w:after="0" w:line="240" w:lineRule="auto"/>
              <w:rPr>
                <w:rFonts w:eastAsia="Times New Roman" w:cstheme="minorHAnsi"/>
                <w:sz w:val="18"/>
                <w:szCs w:val="20"/>
              </w:rPr>
            </w:pPr>
            <w:r w:rsidRPr="00E6522E">
              <w:rPr>
                <w:rFonts w:eastAsia="Times New Roman" w:cstheme="minorHAnsi"/>
                <w:sz w:val="18"/>
                <w:szCs w:val="20"/>
              </w:rPr>
              <w:t xml:space="preserve">2019-2022 </w:t>
            </w:r>
            <w:r w:rsidR="00A21683" w:rsidRPr="00E6522E">
              <w:rPr>
                <w:rFonts w:eastAsia="Times New Roman" w:cstheme="minorHAnsi"/>
                <w:sz w:val="18"/>
                <w:szCs w:val="20"/>
              </w:rPr>
              <w:t>Forecast</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7,5%</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7,9%</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8,4%</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8,3%</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 </w:t>
            </w:r>
          </w:p>
        </w:tc>
      </w:tr>
      <w:tr w:rsidR="00F20410" w:rsidRPr="00E6522E" w:rsidTr="00E6522E">
        <w:trPr>
          <w:trHeight w:val="113"/>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F20410" w:rsidRPr="00E6522E" w:rsidRDefault="00F20410" w:rsidP="00F20410">
            <w:pPr>
              <w:spacing w:after="0" w:line="240" w:lineRule="auto"/>
              <w:rPr>
                <w:rFonts w:eastAsia="Times New Roman" w:cstheme="minorHAnsi"/>
                <w:sz w:val="18"/>
                <w:szCs w:val="20"/>
              </w:rPr>
            </w:pPr>
            <w:r w:rsidRPr="00E6522E">
              <w:rPr>
                <w:rFonts w:eastAsia="Times New Roman" w:cstheme="minorHAnsi"/>
                <w:sz w:val="18"/>
                <w:szCs w:val="20"/>
              </w:rPr>
              <w:t xml:space="preserve">2020-2023 </w:t>
            </w:r>
            <w:r w:rsidR="00A21683" w:rsidRPr="00E6522E">
              <w:rPr>
                <w:rFonts w:eastAsia="Times New Roman" w:cstheme="minorHAnsi"/>
                <w:sz w:val="18"/>
                <w:szCs w:val="20"/>
              </w:rPr>
              <w:t>Forecast</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7,1%</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6,9%</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6,6%</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6,4%</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6,2%</w:t>
            </w:r>
          </w:p>
        </w:tc>
      </w:tr>
      <w:tr w:rsidR="00F20410" w:rsidRPr="00E6522E" w:rsidTr="00E6522E">
        <w:trPr>
          <w:trHeight w:val="113"/>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F20410" w:rsidRPr="00E6522E" w:rsidRDefault="00A21683" w:rsidP="00F20410">
            <w:pPr>
              <w:spacing w:after="0" w:line="240" w:lineRule="auto"/>
              <w:rPr>
                <w:rFonts w:eastAsia="Times New Roman" w:cstheme="minorHAnsi"/>
                <w:sz w:val="18"/>
                <w:szCs w:val="20"/>
              </w:rPr>
            </w:pPr>
            <w:r w:rsidRPr="00E6522E">
              <w:rPr>
                <w:rFonts w:eastAsia="Times New Roman" w:cstheme="minorHAnsi"/>
                <w:sz w:val="18"/>
                <w:szCs w:val="20"/>
              </w:rPr>
              <w:t>Difference</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jc w:val="center"/>
              <w:rPr>
                <w:rFonts w:cstheme="minorHAnsi"/>
                <w:sz w:val="18"/>
                <w:szCs w:val="20"/>
              </w:rPr>
            </w:pPr>
            <w:r w:rsidRPr="00E6522E">
              <w:rPr>
                <w:rFonts w:cstheme="minorHAnsi"/>
                <w:sz w:val="18"/>
                <w:szCs w:val="20"/>
              </w:rPr>
              <w:t>-0,4%</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jc w:val="center"/>
              <w:rPr>
                <w:rFonts w:cstheme="minorHAnsi"/>
                <w:sz w:val="18"/>
                <w:szCs w:val="20"/>
              </w:rPr>
            </w:pPr>
            <w:r w:rsidRPr="00E6522E">
              <w:rPr>
                <w:rFonts w:cstheme="minorHAnsi"/>
                <w:sz w:val="18"/>
                <w:szCs w:val="20"/>
              </w:rPr>
              <w:t>-1,0%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jc w:val="center"/>
              <w:rPr>
                <w:rFonts w:cstheme="minorHAnsi"/>
                <w:sz w:val="18"/>
                <w:szCs w:val="20"/>
              </w:rPr>
            </w:pPr>
            <w:r w:rsidRPr="00E6522E">
              <w:rPr>
                <w:rFonts w:cstheme="minorHAnsi"/>
                <w:sz w:val="18"/>
                <w:szCs w:val="20"/>
              </w:rPr>
              <w:t>-1,8%</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jc w:val="center"/>
              <w:rPr>
                <w:rFonts w:cstheme="minorHAnsi"/>
                <w:sz w:val="18"/>
                <w:szCs w:val="20"/>
              </w:rPr>
            </w:pPr>
            <w:r w:rsidRPr="00E6522E">
              <w:rPr>
                <w:rFonts w:cstheme="minorHAnsi"/>
                <w:sz w:val="18"/>
                <w:szCs w:val="20"/>
              </w:rPr>
              <w:t>-1,9%</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 </w:t>
            </w:r>
          </w:p>
        </w:tc>
      </w:tr>
      <w:tr w:rsidR="00F20410" w:rsidRPr="00E6522E" w:rsidTr="00E6522E">
        <w:trPr>
          <w:trHeight w:val="113"/>
        </w:trPr>
        <w:tc>
          <w:tcPr>
            <w:tcW w:w="5000" w:type="pct"/>
            <w:gridSpan w:val="6"/>
            <w:tcBorders>
              <w:top w:val="single" w:sz="4" w:space="0" w:color="auto"/>
              <w:left w:val="single" w:sz="4" w:space="0" w:color="auto"/>
              <w:bottom w:val="single" w:sz="4" w:space="0" w:color="auto"/>
              <w:right w:val="single" w:sz="4" w:space="0" w:color="auto"/>
            </w:tcBorders>
            <w:shd w:val="clear" w:color="000000" w:fill="FDE9D9"/>
            <w:vAlign w:val="center"/>
            <w:hideMark/>
          </w:tcPr>
          <w:p w:rsidR="00F20410" w:rsidRPr="00E6522E" w:rsidRDefault="00F20410" w:rsidP="00F20410">
            <w:pPr>
              <w:spacing w:after="0" w:line="240" w:lineRule="auto"/>
              <w:jc w:val="center"/>
              <w:rPr>
                <w:rFonts w:eastAsia="Times New Roman" w:cstheme="minorHAnsi"/>
                <w:b/>
                <w:bCs/>
                <w:sz w:val="18"/>
                <w:szCs w:val="20"/>
              </w:rPr>
            </w:pPr>
            <w:r w:rsidRPr="00E6522E">
              <w:rPr>
                <w:rFonts w:eastAsia="Times New Roman" w:cstheme="minorHAnsi"/>
                <w:b/>
                <w:bCs/>
                <w:sz w:val="18"/>
                <w:szCs w:val="20"/>
              </w:rPr>
              <w:t> </w:t>
            </w:r>
          </w:p>
        </w:tc>
      </w:tr>
      <w:tr w:rsidR="001D7123" w:rsidRPr="00E6522E" w:rsidTr="00E6522E">
        <w:trPr>
          <w:trHeight w:val="113"/>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1D7123" w:rsidRPr="00E6522E" w:rsidRDefault="001D7123" w:rsidP="001D7123">
            <w:pPr>
              <w:spacing w:after="0" w:line="240" w:lineRule="auto"/>
              <w:rPr>
                <w:rFonts w:eastAsia="Times New Roman" w:cstheme="minorHAnsi"/>
                <w:b/>
                <w:bCs/>
                <w:sz w:val="18"/>
                <w:szCs w:val="20"/>
              </w:rPr>
            </w:pPr>
            <w:r w:rsidRPr="00E6522E">
              <w:rPr>
                <w:rFonts w:eastAsia="Times New Roman" w:cstheme="minorHAnsi"/>
                <w:b/>
                <w:sz w:val="18"/>
                <w:szCs w:val="20"/>
              </w:rPr>
              <w:t>Increase in Financial Assets</w:t>
            </w:r>
          </w:p>
        </w:tc>
        <w:tc>
          <w:tcPr>
            <w:tcW w:w="3750" w:type="pct"/>
            <w:gridSpan w:val="5"/>
            <w:tcBorders>
              <w:top w:val="single" w:sz="4" w:space="0" w:color="auto"/>
              <w:left w:val="nil"/>
              <w:bottom w:val="single" w:sz="4" w:space="0" w:color="auto"/>
              <w:right w:val="single" w:sz="4" w:space="0" w:color="auto"/>
            </w:tcBorders>
            <w:shd w:val="clear" w:color="auto" w:fill="auto"/>
            <w:noWrap/>
            <w:vAlign w:val="center"/>
            <w:hideMark/>
          </w:tcPr>
          <w:p w:rsidR="001D7123" w:rsidRPr="00E6522E" w:rsidRDefault="001D7123" w:rsidP="001D7123">
            <w:pPr>
              <w:spacing w:after="0" w:line="240" w:lineRule="auto"/>
              <w:rPr>
                <w:rFonts w:eastAsia="Times New Roman" w:cstheme="minorHAnsi"/>
                <w:sz w:val="18"/>
                <w:szCs w:val="20"/>
              </w:rPr>
            </w:pPr>
            <w:r w:rsidRPr="00E6522E">
              <w:rPr>
                <w:rFonts w:eastAsia="Times New Roman" w:cstheme="minorHAnsi"/>
                <w:sz w:val="18"/>
                <w:szCs w:val="20"/>
              </w:rPr>
              <w:t> </w:t>
            </w:r>
          </w:p>
        </w:tc>
      </w:tr>
      <w:tr w:rsidR="001D7123" w:rsidRPr="00E6522E" w:rsidTr="00E6522E">
        <w:trPr>
          <w:trHeight w:val="113"/>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1D7123" w:rsidRPr="00E6522E" w:rsidRDefault="001D7123" w:rsidP="001D7123">
            <w:pPr>
              <w:spacing w:after="0" w:line="240" w:lineRule="auto"/>
              <w:rPr>
                <w:rFonts w:eastAsia="Times New Roman" w:cstheme="minorHAnsi"/>
                <w:sz w:val="18"/>
                <w:szCs w:val="20"/>
              </w:rPr>
            </w:pPr>
            <w:r w:rsidRPr="00E6522E">
              <w:rPr>
                <w:rFonts w:eastAsia="Times New Roman" w:cstheme="minorHAnsi"/>
                <w:sz w:val="18"/>
                <w:szCs w:val="20"/>
              </w:rPr>
              <w:t xml:space="preserve">2019-2022 </w:t>
            </w:r>
            <w:r w:rsidR="00A21683" w:rsidRPr="00E6522E">
              <w:rPr>
                <w:rFonts w:eastAsia="Times New Roman" w:cstheme="minorHAnsi"/>
                <w:sz w:val="18"/>
                <w:szCs w:val="20"/>
              </w:rPr>
              <w:t>Forecast</w:t>
            </w:r>
          </w:p>
        </w:tc>
        <w:tc>
          <w:tcPr>
            <w:tcW w:w="750" w:type="pct"/>
            <w:tcBorders>
              <w:top w:val="nil"/>
              <w:left w:val="nil"/>
              <w:bottom w:val="single" w:sz="4" w:space="0" w:color="auto"/>
              <w:right w:val="single" w:sz="4" w:space="0" w:color="auto"/>
            </w:tcBorders>
            <w:shd w:val="clear" w:color="auto" w:fill="auto"/>
            <w:noWrap/>
            <w:vAlign w:val="center"/>
            <w:hideMark/>
          </w:tcPr>
          <w:p w:rsidR="001D7123" w:rsidRPr="00E6522E" w:rsidRDefault="001D7123" w:rsidP="001D7123">
            <w:pPr>
              <w:spacing w:after="0" w:line="240" w:lineRule="auto"/>
              <w:jc w:val="center"/>
              <w:rPr>
                <w:rFonts w:eastAsia="Times New Roman" w:cstheme="minorHAnsi"/>
                <w:sz w:val="18"/>
                <w:szCs w:val="20"/>
              </w:rPr>
            </w:pPr>
            <w:r w:rsidRPr="00E6522E">
              <w:rPr>
                <w:rFonts w:eastAsia="Times New Roman" w:cstheme="minorHAnsi"/>
                <w:sz w:val="18"/>
                <w:szCs w:val="20"/>
              </w:rPr>
              <w:t>0,7%</w:t>
            </w:r>
          </w:p>
        </w:tc>
        <w:tc>
          <w:tcPr>
            <w:tcW w:w="750" w:type="pct"/>
            <w:tcBorders>
              <w:top w:val="nil"/>
              <w:left w:val="nil"/>
              <w:bottom w:val="single" w:sz="4" w:space="0" w:color="auto"/>
              <w:right w:val="single" w:sz="4" w:space="0" w:color="auto"/>
            </w:tcBorders>
            <w:shd w:val="clear" w:color="auto" w:fill="auto"/>
            <w:noWrap/>
            <w:vAlign w:val="center"/>
            <w:hideMark/>
          </w:tcPr>
          <w:p w:rsidR="001D7123" w:rsidRPr="00E6522E" w:rsidRDefault="001D7123" w:rsidP="001D7123">
            <w:pPr>
              <w:spacing w:after="0" w:line="240" w:lineRule="auto"/>
              <w:jc w:val="center"/>
              <w:rPr>
                <w:rFonts w:eastAsia="Times New Roman" w:cstheme="minorHAnsi"/>
                <w:sz w:val="18"/>
                <w:szCs w:val="20"/>
              </w:rPr>
            </w:pPr>
            <w:r w:rsidRPr="00E6522E">
              <w:rPr>
                <w:rFonts w:eastAsia="Times New Roman" w:cstheme="minorHAnsi"/>
                <w:sz w:val="18"/>
                <w:szCs w:val="20"/>
              </w:rPr>
              <w:t>0,6%</w:t>
            </w:r>
          </w:p>
        </w:tc>
        <w:tc>
          <w:tcPr>
            <w:tcW w:w="750" w:type="pct"/>
            <w:tcBorders>
              <w:top w:val="nil"/>
              <w:left w:val="nil"/>
              <w:bottom w:val="single" w:sz="4" w:space="0" w:color="auto"/>
              <w:right w:val="single" w:sz="4" w:space="0" w:color="auto"/>
            </w:tcBorders>
            <w:shd w:val="clear" w:color="auto" w:fill="auto"/>
            <w:noWrap/>
            <w:vAlign w:val="center"/>
            <w:hideMark/>
          </w:tcPr>
          <w:p w:rsidR="001D7123" w:rsidRPr="00E6522E" w:rsidRDefault="001D7123" w:rsidP="001D7123">
            <w:pPr>
              <w:spacing w:after="0" w:line="240" w:lineRule="auto"/>
              <w:jc w:val="center"/>
              <w:rPr>
                <w:rFonts w:eastAsia="Times New Roman" w:cstheme="minorHAnsi"/>
                <w:sz w:val="18"/>
                <w:szCs w:val="20"/>
              </w:rPr>
            </w:pPr>
            <w:r w:rsidRPr="00E6522E">
              <w:rPr>
                <w:rFonts w:eastAsia="Times New Roman" w:cstheme="minorHAnsi"/>
                <w:sz w:val="18"/>
                <w:szCs w:val="20"/>
              </w:rPr>
              <w:t>0,8%</w:t>
            </w:r>
          </w:p>
        </w:tc>
        <w:tc>
          <w:tcPr>
            <w:tcW w:w="750" w:type="pct"/>
            <w:tcBorders>
              <w:top w:val="nil"/>
              <w:left w:val="nil"/>
              <w:bottom w:val="single" w:sz="4" w:space="0" w:color="auto"/>
              <w:right w:val="single" w:sz="4" w:space="0" w:color="auto"/>
            </w:tcBorders>
            <w:shd w:val="clear" w:color="auto" w:fill="auto"/>
            <w:noWrap/>
            <w:vAlign w:val="center"/>
            <w:hideMark/>
          </w:tcPr>
          <w:p w:rsidR="001D7123" w:rsidRPr="00E6522E" w:rsidRDefault="001D7123" w:rsidP="001D7123">
            <w:pPr>
              <w:spacing w:after="0" w:line="240" w:lineRule="auto"/>
              <w:jc w:val="center"/>
              <w:rPr>
                <w:rFonts w:eastAsia="Times New Roman" w:cstheme="minorHAnsi"/>
                <w:sz w:val="18"/>
                <w:szCs w:val="20"/>
              </w:rPr>
            </w:pPr>
            <w:r w:rsidRPr="00E6522E">
              <w:rPr>
                <w:rFonts w:eastAsia="Times New Roman" w:cstheme="minorHAnsi"/>
                <w:sz w:val="18"/>
                <w:szCs w:val="20"/>
              </w:rPr>
              <w:t>0,7%</w:t>
            </w:r>
          </w:p>
        </w:tc>
        <w:tc>
          <w:tcPr>
            <w:tcW w:w="750" w:type="pct"/>
            <w:tcBorders>
              <w:top w:val="nil"/>
              <w:left w:val="nil"/>
              <w:bottom w:val="single" w:sz="4" w:space="0" w:color="auto"/>
              <w:right w:val="single" w:sz="4" w:space="0" w:color="auto"/>
            </w:tcBorders>
            <w:shd w:val="clear" w:color="000000" w:fill="FDE9D9"/>
            <w:noWrap/>
            <w:vAlign w:val="center"/>
            <w:hideMark/>
          </w:tcPr>
          <w:p w:rsidR="001D7123" w:rsidRPr="00E6522E" w:rsidRDefault="001D7123" w:rsidP="001D7123">
            <w:pPr>
              <w:spacing w:after="0" w:line="240" w:lineRule="auto"/>
              <w:jc w:val="center"/>
              <w:rPr>
                <w:rFonts w:eastAsia="Times New Roman" w:cstheme="minorHAnsi"/>
                <w:sz w:val="18"/>
                <w:szCs w:val="20"/>
              </w:rPr>
            </w:pPr>
            <w:r w:rsidRPr="00E6522E">
              <w:rPr>
                <w:rFonts w:eastAsia="Times New Roman" w:cstheme="minorHAnsi"/>
                <w:sz w:val="18"/>
                <w:szCs w:val="20"/>
              </w:rPr>
              <w:t> </w:t>
            </w:r>
          </w:p>
        </w:tc>
      </w:tr>
      <w:tr w:rsidR="001D7123" w:rsidRPr="00E6522E" w:rsidTr="00E6522E">
        <w:trPr>
          <w:trHeight w:val="113"/>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1D7123" w:rsidRPr="00E6522E" w:rsidRDefault="001D7123" w:rsidP="001D7123">
            <w:pPr>
              <w:spacing w:after="0" w:line="240" w:lineRule="auto"/>
              <w:rPr>
                <w:rFonts w:eastAsia="Times New Roman" w:cstheme="minorHAnsi"/>
                <w:sz w:val="18"/>
                <w:szCs w:val="20"/>
              </w:rPr>
            </w:pPr>
            <w:r w:rsidRPr="00E6522E">
              <w:rPr>
                <w:rFonts w:eastAsia="Times New Roman" w:cstheme="minorHAnsi"/>
                <w:sz w:val="18"/>
                <w:szCs w:val="20"/>
              </w:rPr>
              <w:t xml:space="preserve">2020-2023 </w:t>
            </w:r>
            <w:r w:rsidR="00A21683" w:rsidRPr="00E6522E">
              <w:rPr>
                <w:rFonts w:eastAsia="Times New Roman" w:cstheme="minorHAnsi"/>
                <w:sz w:val="18"/>
                <w:szCs w:val="20"/>
              </w:rPr>
              <w:t>Forecast</w:t>
            </w:r>
          </w:p>
        </w:tc>
        <w:tc>
          <w:tcPr>
            <w:tcW w:w="750" w:type="pct"/>
            <w:tcBorders>
              <w:top w:val="nil"/>
              <w:left w:val="nil"/>
              <w:bottom w:val="single" w:sz="4" w:space="0" w:color="auto"/>
              <w:right w:val="single" w:sz="4" w:space="0" w:color="auto"/>
            </w:tcBorders>
            <w:shd w:val="clear" w:color="auto" w:fill="auto"/>
            <w:noWrap/>
            <w:vAlign w:val="center"/>
            <w:hideMark/>
          </w:tcPr>
          <w:p w:rsidR="001D7123" w:rsidRPr="00E6522E" w:rsidRDefault="001D7123" w:rsidP="001D7123">
            <w:pPr>
              <w:spacing w:after="0" w:line="240" w:lineRule="auto"/>
              <w:jc w:val="center"/>
              <w:rPr>
                <w:rFonts w:eastAsia="Times New Roman" w:cstheme="minorHAnsi"/>
                <w:sz w:val="18"/>
                <w:szCs w:val="20"/>
              </w:rPr>
            </w:pPr>
            <w:r w:rsidRPr="00E6522E">
              <w:rPr>
                <w:rFonts w:eastAsia="Times New Roman" w:cstheme="minorHAnsi"/>
                <w:sz w:val="18"/>
                <w:szCs w:val="20"/>
              </w:rPr>
              <w:t>0,5%</w:t>
            </w:r>
          </w:p>
        </w:tc>
        <w:tc>
          <w:tcPr>
            <w:tcW w:w="750" w:type="pct"/>
            <w:tcBorders>
              <w:top w:val="nil"/>
              <w:left w:val="nil"/>
              <w:bottom w:val="single" w:sz="4" w:space="0" w:color="auto"/>
              <w:right w:val="single" w:sz="4" w:space="0" w:color="auto"/>
            </w:tcBorders>
            <w:shd w:val="clear" w:color="auto" w:fill="auto"/>
            <w:noWrap/>
            <w:vAlign w:val="center"/>
            <w:hideMark/>
          </w:tcPr>
          <w:p w:rsidR="001D7123" w:rsidRPr="00E6522E" w:rsidRDefault="001D7123" w:rsidP="001D7123">
            <w:pPr>
              <w:spacing w:after="0" w:line="240" w:lineRule="auto"/>
              <w:jc w:val="center"/>
              <w:rPr>
                <w:rFonts w:eastAsia="Times New Roman" w:cstheme="minorHAnsi"/>
                <w:sz w:val="18"/>
                <w:szCs w:val="20"/>
              </w:rPr>
            </w:pPr>
            <w:r w:rsidRPr="00E6522E">
              <w:rPr>
                <w:rFonts w:eastAsia="Times New Roman" w:cstheme="minorHAnsi"/>
                <w:sz w:val="18"/>
                <w:szCs w:val="20"/>
              </w:rPr>
              <w:t>0,3%</w:t>
            </w:r>
          </w:p>
        </w:tc>
        <w:tc>
          <w:tcPr>
            <w:tcW w:w="750" w:type="pct"/>
            <w:tcBorders>
              <w:top w:val="nil"/>
              <w:left w:val="nil"/>
              <w:bottom w:val="single" w:sz="4" w:space="0" w:color="auto"/>
              <w:right w:val="single" w:sz="4" w:space="0" w:color="auto"/>
            </w:tcBorders>
            <w:shd w:val="clear" w:color="auto" w:fill="auto"/>
            <w:noWrap/>
            <w:vAlign w:val="center"/>
            <w:hideMark/>
          </w:tcPr>
          <w:p w:rsidR="001D7123" w:rsidRPr="00E6522E" w:rsidRDefault="001D7123" w:rsidP="001D7123">
            <w:pPr>
              <w:spacing w:after="0" w:line="240" w:lineRule="auto"/>
              <w:jc w:val="center"/>
              <w:rPr>
                <w:rFonts w:eastAsia="Times New Roman" w:cstheme="minorHAnsi"/>
                <w:sz w:val="18"/>
                <w:szCs w:val="20"/>
              </w:rPr>
            </w:pPr>
            <w:r w:rsidRPr="00E6522E">
              <w:rPr>
                <w:rFonts w:eastAsia="Times New Roman" w:cstheme="minorHAnsi"/>
                <w:sz w:val="18"/>
                <w:szCs w:val="20"/>
              </w:rPr>
              <w:t>0,6%</w:t>
            </w:r>
          </w:p>
        </w:tc>
        <w:tc>
          <w:tcPr>
            <w:tcW w:w="750" w:type="pct"/>
            <w:tcBorders>
              <w:top w:val="nil"/>
              <w:left w:val="nil"/>
              <w:bottom w:val="single" w:sz="4" w:space="0" w:color="auto"/>
              <w:right w:val="single" w:sz="4" w:space="0" w:color="auto"/>
            </w:tcBorders>
            <w:shd w:val="clear" w:color="auto" w:fill="auto"/>
            <w:noWrap/>
            <w:vAlign w:val="center"/>
            <w:hideMark/>
          </w:tcPr>
          <w:p w:rsidR="001D7123" w:rsidRPr="00E6522E" w:rsidRDefault="001D7123" w:rsidP="001D7123">
            <w:pPr>
              <w:spacing w:after="0" w:line="240" w:lineRule="auto"/>
              <w:jc w:val="center"/>
              <w:rPr>
                <w:rFonts w:eastAsia="Times New Roman" w:cstheme="minorHAnsi"/>
                <w:sz w:val="18"/>
                <w:szCs w:val="20"/>
              </w:rPr>
            </w:pPr>
            <w:r w:rsidRPr="00E6522E">
              <w:rPr>
                <w:rFonts w:eastAsia="Times New Roman" w:cstheme="minorHAnsi"/>
                <w:sz w:val="18"/>
                <w:szCs w:val="20"/>
              </w:rPr>
              <w:t>0,6%</w:t>
            </w:r>
          </w:p>
        </w:tc>
        <w:tc>
          <w:tcPr>
            <w:tcW w:w="750" w:type="pct"/>
            <w:tcBorders>
              <w:top w:val="nil"/>
              <w:left w:val="nil"/>
              <w:bottom w:val="single" w:sz="4" w:space="0" w:color="auto"/>
              <w:right w:val="single" w:sz="4" w:space="0" w:color="auto"/>
            </w:tcBorders>
            <w:shd w:val="clear" w:color="000000" w:fill="FDE9D9"/>
            <w:noWrap/>
            <w:vAlign w:val="center"/>
            <w:hideMark/>
          </w:tcPr>
          <w:p w:rsidR="001D7123" w:rsidRPr="00E6522E" w:rsidRDefault="001D7123" w:rsidP="001D7123">
            <w:pPr>
              <w:spacing w:after="0" w:line="240" w:lineRule="auto"/>
              <w:jc w:val="center"/>
              <w:rPr>
                <w:rFonts w:eastAsia="Times New Roman" w:cstheme="minorHAnsi"/>
                <w:sz w:val="18"/>
                <w:szCs w:val="20"/>
              </w:rPr>
            </w:pPr>
            <w:r w:rsidRPr="00E6522E">
              <w:rPr>
                <w:rFonts w:eastAsia="Times New Roman" w:cstheme="minorHAnsi"/>
                <w:sz w:val="18"/>
                <w:szCs w:val="20"/>
              </w:rPr>
              <w:t>0,5%</w:t>
            </w:r>
          </w:p>
        </w:tc>
      </w:tr>
      <w:tr w:rsidR="001D7123" w:rsidRPr="00E6522E" w:rsidTr="00E6522E">
        <w:trPr>
          <w:trHeight w:val="113"/>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1D7123" w:rsidRPr="00E6522E" w:rsidRDefault="00A21683" w:rsidP="001D7123">
            <w:pPr>
              <w:spacing w:after="0" w:line="240" w:lineRule="auto"/>
              <w:rPr>
                <w:rFonts w:eastAsia="Times New Roman" w:cstheme="minorHAnsi"/>
                <w:sz w:val="18"/>
                <w:szCs w:val="20"/>
              </w:rPr>
            </w:pPr>
            <w:r w:rsidRPr="00E6522E">
              <w:rPr>
                <w:rFonts w:eastAsia="Times New Roman" w:cstheme="minorHAnsi"/>
                <w:sz w:val="18"/>
                <w:szCs w:val="20"/>
              </w:rPr>
              <w:t>Difference</w:t>
            </w:r>
          </w:p>
        </w:tc>
        <w:tc>
          <w:tcPr>
            <w:tcW w:w="750" w:type="pct"/>
            <w:tcBorders>
              <w:top w:val="nil"/>
              <w:left w:val="nil"/>
              <w:bottom w:val="single" w:sz="4" w:space="0" w:color="auto"/>
              <w:right w:val="single" w:sz="4" w:space="0" w:color="auto"/>
            </w:tcBorders>
            <w:shd w:val="clear" w:color="auto" w:fill="auto"/>
            <w:noWrap/>
            <w:vAlign w:val="center"/>
            <w:hideMark/>
          </w:tcPr>
          <w:p w:rsidR="001D7123" w:rsidRPr="00E6522E" w:rsidRDefault="001D7123" w:rsidP="001D7123">
            <w:pPr>
              <w:spacing w:after="0" w:line="240" w:lineRule="auto"/>
              <w:jc w:val="center"/>
              <w:rPr>
                <w:rFonts w:eastAsia="Times New Roman" w:cstheme="minorHAnsi"/>
                <w:sz w:val="18"/>
                <w:szCs w:val="20"/>
              </w:rPr>
            </w:pPr>
            <w:r w:rsidRPr="00E6522E">
              <w:rPr>
                <w:rFonts w:eastAsia="Times New Roman" w:cstheme="minorHAnsi"/>
                <w:sz w:val="18"/>
                <w:szCs w:val="20"/>
              </w:rPr>
              <w:t>-0,3%</w:t>
            </w:r>
          </w:p>
        </w:tc>
        <w:tc>
          <w:tcPr>
            <w:tcW w:w="750" w:type="pct"/>
            <w:tcBorders>
              <w:top w:val="nil"/>
              <w:left w:val="nil"/>
              <w:bottom w:val="single" w:sz="4" w:space="0" w:color="auto"/>
              <w:right w:val="single" w:sz="4" w:space="0" w:color="auto"/>
            </w:tcBorders>
            <w:shd w:val="clear" w:color="auto" w:fill="auto"/>
            <w:noWrap/>
            <w:vAlign w:val="center"/>
            <w:hideMark/>
          </w:tcPr>
          <w:p w:rsidR="001D7123" w:rsidRPr="00E6522E" w:rsidRDefault="001D7123" w:rsidP="001D7123">
            <w:pPr>
              <w:spacing w:after="0" w:line="240" w:lineRule="auto"/>
              <w:jc w:val="center"/>
              <w:rPr>
                <w:rFonts w:eastAsia="Times New Roman" w:cstheme="minorHAnsi"/>
                <w:sz w:val="18"/>
                <w:szCs w:val="20"/>
              </w:rPr>
            </w:pPr>
            <w:r w:rsidRPr="00E6522E">
              <w:rPr>
                <w:rFonts w:eastAsia="Times New Roman" w:cstheme="minorHAnsi"/>
                <w:sz w:val="18"/>
                <w:szCs w:val="20"/>
              </w:rPr>
              <w:t>-0,3%</w:t>
            </w:r>
          </w:p>
        </w:tc>
        <w:tc>
          <w:tcPr>
            <w:tcW w:w="750" w:type="pct"/>
            <w:tcBorders>
              <w:top w:val="nil"/>
              <w:left w:val="nil"/>
              <w:bottom w:val="single" w:sz="4" w:space="0" w:color="auto"/>
              <w:right w:val="single" w:sz="4" w:space="0" w:color="auto"/>
            </w:tcBorders>
            <w:shd w:val="clear" w:color="auto" w:fill="auto"/>
            <w:noWrap/>
            <w:vAlign w:val="center"/>
            <w:hideMark/>
          </w:tcPr>
          <w:p w:rsidR="001D7123" w:rsidRPr="00E6522E" w:rsidRDefault="001D7123" w:rsidP="001D7123">
            <w:pPr>
              <w:spacing w:after="0" w:line="240" w:lineRule="auto"/>
              <w:jc w:val="center"/>
              <w:rPr>
                <w:rFonts w:eastAsia="Times New Roman" w:cstheme="minorHAnsi"/>
                <w:sz w:val="18"/>
                <w:szCs w:val="20"/>
              </w:rPr>
            </w:pPr>
            <w:r w:rsidRPr="00E6522E">
              <w:rPr>
                <w:rFonts w:eastAsia="Times New Roman" w:cstheme="minorHAnsi"/>
                <w:sz w:val="18"/>
                <w:szCs w:val="20"/>
              </w:rPr>
              <w:t>-0,1%</w:t>
            </w:r>
          </w:p>
        </w:tc>
        <w:tc>
          <w:tcPr>
            <w:tcW w:w="750" w:type="pct"/>
            <w:tcBorders>
              <w:top w:val="nil"/>
              <w:left w:val="nil"/>
              <w:bottom w:val="single" w:sz="4" w:space="0" w:color="auto"/>
              <w:right w:val="single" w:sz="4" w:space="0" w:color="auto"/>
            </w:tcBorders>
            <w:shd w:val="clear" w:color="auto" w:fill="auto"/>
            <w:noWrap/>
            <w:vAlign w:val="center"/>
            <w:hideMark/>
          </w:tcPr>
          <w:p w:rsidR="001D7123" w:rsidRPr="00E6522E" w:rsidRDefault="001D7123" w:rsidP="001D7123">
            <w:pPr>
              <w:spacing w:after="0" w:line="240" w:lineRule="auto"/>
              <w:jc w:val="center"/>
              <w:rPr>
                <w:rFonts w:eastAsia="Times New Roman" w:cstheme="minorHAnsi"/>
                <w:sz w:val="18"/>
                <w:szCs w:val="20"/>
              </w:rPr>
            </w:pPr>
            <w:r w:rsidRPr="00E6522E">
              <w:rPr>
                <w:rFonts w:eastAsia="Times New Roman" w:cstheme="minorHAnsi"/>
                <w:sz w:val="18"/>
                <w:szCs w:val="20"/>
              </w:rPr>
              <w:t>-0,1%</w:t>
            </w:r>
          </w:p>
        </w:tc>
        <w:tc>
          <w:tcPr>
            <w:tcW w:w="750" w:type="pct"/>
            <w:tcBorders>
              <w:top w:val="nil"/>
              <w:left w:val="nil"/>
              <w:bottom w:val="single" w:sz="4" w:space="0" w:color="auto"/>
              <w:right w:val="single" w:sz="4" w:space="0" w:color="auto"/>
            </w:tcBorders>
            <w:shd w:val="clear" w:color="000000" w:fill="FDE9D9"/>
            <w:noWrap/>
            <w:vAlign w:val="center"/>
            <w:hideMark/>
          </w:tcPr>
          <w:p w:rsidR="001D7123" w:rsidRPr="00E6522E" w:rsidRDefault="001D7123" w:rsidP="001D7123">
            <w:pPr>
              <w:spacing w:after="0" w:line="240" w:lineRule="auto"/>
              <w:jc w:val="center"/>
              <w:rPr>
                <w:rFonts w:eastAsia="Times New Roman" w:cstheme="minorHAnsi"/>
                <w:sz w:val="18"/>
                <w:szCs w:val="20"/>
              </w:rPr>
            </w:pPr>
            <w:r w:rsidRPr="00E6522E">
              <w:rPr>
                <w:rFonts w:eastAsia="Times New Roman" w:cstheme="minorHAnsi"/>
                <w:sz w:val="18"/>
                <w:szCs w:val="20"/>
              </w:rPr>
              <w:t> </w:t>
            </w:r>
          </w:p>
        </w:tc>
      </w:tr>
    </w:tbl>
    <w:p w:rsidR="00993A61" w:rsidRPr="00E6522E" w:rsidRDefault="00993A61" w:rsidP="004F6F62">
      <w:pPr>
        <w:jc w:val="both"/>
        <w:rPr>
          <w:rFonts w:cstheme="minorHAnsi"/>
        </w:rPr>
      </w:pPr>
    </w:p>
    <w:p w:rsidR="004F6F62" w:rsidRPr="00E6522E" w:rsidRDefault="009C590B" w:rsidP="004F6F62">
      <w:pPr>
        <w:jc w:val="both"/>
        <w:rPr>
          <w:rFonts w:cstheme="minorHAnsi"/>
        </w:rPr>
      </w:pPr>
      <w:r w:rsidRPr="00E6522E">
        <w:rPr>
          <w:rFonts w:cstheme="minorHAnsi"/>
        </w:rPr>
        <w:t>Significant</w:t>
      </w:r>
      <w:r w:rsidR="008D2BE3" w:rsidRPr="00E6522E">
        <w:rPr>
          <w:rFonts w:cstheme="minorHAnsi"/>
          <w:lang w:val="ka-GE"/>
        </w:rPr>
        <w:t xml:space="preserve"> changes</w:t>
      </w:r>
      <w:r w:rsidRPr="00E6522E">
        <w:rPr>
          <w:rFonts w:cstheme="minorHAnsi"/>
          <w:lang w:val="ka-GE"/>
        </w:rPr>
        <w:t xml:space="preserve"> in</w:t>
      </w:r>
      <w:r w:rsidR="008D2BE3" w:rsidRPr="00E6522E">
        <w:rPr>
          <w:rFonts w:cstheme="minorHAnsi"/>
          <w:lang w:val="ka-GE"/>
        </w:rPr>
        <w:t xml:space="preserve"> spending </w:t>
      </w:r>
      <w:r w:rsidRPr="00E6522E">
        <w:rPr>
          <w:rFonts w:cstheme="minorHAnsi"/>
        </w:rPr>
        <w:t>compared</w:t>
      </w:r>
      <w:r w:rsidRPr="00E6522E">
        <w:rPr>
          <w:rFonts w:cstheme="minorHAnsi"/>
          <w:lang w:val="ka-GE"/>
        </w:rPr>
        <w:t xml:space="preserve"> to 2019-2022</w:t>
      </w:r>
      <w:r w:rsidRPr="00E6522E">
        <w:rPr>
          <w:rFonts w:cstheme="minorHAnsi"/>
        </w:rPr>
        <w:t xml:space="preserve"> projections </w:t>
      </w:r>
      <w:r w:rsidR="00E6522E">
        <w:rPr>
          <w:rFonts w:cstheme="minorHAnsi"/>
          <w:lang w:val="ka-GE"/>
        </w:rPr>
        <w:t xml:space="preserve">are </w:t>
      </w:r>
      <w:r w:rsidRPr="00E6522E">
        <w:rPr>
          <w:rFonts w:cstheme="minorHAnsi"/>
          <w:lang w:val="ka-GE"/>
        </w:rPr>
        <w:t xml:space="preserve">caused by </w:t>
      </w:r>
      <w:r w:rsidR="008D2BE3" w:rsidRPr="00E6522E">
        <w:rPr>
          <w:rFonts w:cstheme="minorHAnsi"/>
          <w:lang w:val="ka-GE"/>
        </w:rPr>
        <w:t xml:space="preserve">education reform spending which has </w:t>
      </w:r>
      <w:r w:rsidRPr="00E6522E">
        <w:rPr>
          <w:rFonts w:cstheme="minorHAnsi"/>
          <w:lang w:val="ka-GE"/>
        </w:rPr>
        <w:t>affected</w:t>
      </w:r>
      <w:r w:rsidR="003E315C" w:rsidRPr="00E6522E">
        <w:rPr>
          <w:rFonts w:cstheme="minorHAnsi"/>
          <w:lang w:val="ka-GE"/>
        </w:rPr>
        <w:t xml:space="preserve"> 2019 </w:t>
      </w:r>
      <w:r w:rsidRPr="00E6522E">
        <w:rPr>
          <w:rFonts w:cstheme="minorHAnsi"/>
        </w:rPr>
        <w:t>medium</w:t>
      </w:r>
      <w:r w:rsidR="008D2BE3" w:rsidRPr="00E6522E">
        <w:rPr>
          <w:rFonts w:cstheme="minorHAnsi"/>
          <w:lang w:val="ka-GE"/>
        </w:rPr>
        <w:t xml:space="preserve">-term </w:t>
      </w:r>
      <w:r w:rsidRPr="00E6522E">
        <w:rPr>
          <w:rFonts w:cstheme="minorHAnsi"/>
          <w:lang w:val="ka-GE"/>
        </w:rPr>
        <w:t>forecasts. In particular,</w:t>
      </w:r>
      <w:r w:rsidR="008D2BE3" w:rsidRPr="00E6522E">
        <w:rPr>
          <w:rFonts w:cstheme="minorHAnsi"/>
          <w:lang w:val="ka-GE"/>
        </w:rPr>
        <w:t xml:space="preserve"> the current </w:t>
      </w:r>
      <w:r w:rsidRPr="00E6522E">
        <w:rPr>
          <w:rFonts w:cstheme="minorHAnsi"/>
        </w:rPr>
        <w:t>spending</w:t>
      </w:r>
      <w:r w:rsidR="008D2BE3" w:rsidRPr="00E6522E">
        <w:rPr>
          <w:rFonts w:cstheme="minorHAnsi"/>
          <w:lang w:val="ka-GE"/>
        </w:rPr>
        <w:t xml:space="preserve"> </w:t>
      </w:r>
      <w:r w:rsidR="0024129C" w:rsidRPr="00E6522E">
        <w:rPr>
          <w:rFonts w:cstheme="minorHAnsi"/>
        </w:rPr>
        <w:t xml:space="preserve">was influenced by the costs of </w:t>
      </w:r>
      <w:r w:rsidR="008D2BE3" w:rsidRPr="00E6522E">
        <w:rPr>
          <w:rFonts w:cstheme="minorHAnsi"/>
          <w:lang w:val="ka-GE"/>
        </w:rPr>
        <w:t>compensati</w:t>
      </w:r>
      <w:r w:rsidR="003E315C" w:rsidRPr="00E6522E">
        <w:rPr>
          <w:rFonts w:cstheme="minorHAnsi"/>
        </w:rPr>
        <w:t xml:space="preserve">on of </w:t>
      </w:r>
      <w:r w:rsidR="008D2BE3" w:rsidRPr="00E6522E">
        <w:rPr>
          <w:rFonts w:cstheme="minorHAnsi"/>
          <w:lang w:val="ka-GE"/>
        </w:rPr>
        <w:t>retire</w:t>
      </w:r>
      <w:r w:rsidR="003E315C" w:rsidRPr="00E6522E">
        <w:rPr>
          <w:rFonts w:cstheme="minorHAnsi"/>
        </w:rPr>
        <w:t>d</w:t>
      </w:r>
      <w:r w:rsidR="008D2BE3" w:rsidRPr="00E6522E">
        <w:rPr>
          <w:rFonts w:cstheme="minorHAnsi"/>
          <w:lang w:val="ka-GE"/>
        </w:rPr>
        <w:t xml:space="preserve"> teachers and remunerat</w:t>
      </w:r>
      <w:r w:rsidR="003E315C" w:rsidRPr="00E6522E">
        <w:rPr>
          <w:rFonts w:cstheme="minorHAnsi"/>
        </w:rPr>
        <w:t>ion</w:t>
      </w:r>
      <w:r w:rsidR="0024129C" w:rsidRPr="00E6522E">
        <w:rPr>
          <w:rFonts w:cstheme="minorHAnsi"/>
          <w:lang w:val="ka-GE"/>
        </w:rPr>
        <w:t xml:space="preserve"> </w:t>
      </w:r>
      <w:r w:rsidR="0024129C" w:rsidRPr="00E6522E">
        <w:rPr>
          <w:rFonts w:cstheme="minorHAnsi"/>
        </w:rPr>
        <w:t>increase</w:t>
      </w:r>
      <w:r w:rsidR="008D2BE3" w:rsidRPr="00E6522E">
        <w:rPr>
          <w:rFonts w:cstheme="minorHAnsi"/>
          <w:lang w:val="ka-GE"/>
        </w:rPr>
        <w:t xml:space="preserve"> </w:t>
      </w:r>
      <w:r w:rsidR="003E315C" w:rsidRPr="00E6522E">
        <w:rPr>
          <w:rFonts w:cstheme="minorHAnsi"/>
        </w:rPr>
        <w:t xml:space="preserve">of </w:t>
      </w:r>
      <w:r w:rsidR="008D2BE3" w:rsidRPr="00E6522E">
        <w:rPr>
          <w:rFonts w:cstheme="minorHAnsi"/>
          <w:lang w:val="ka-GE"/>
        </w:rPr>
        <w:t>certified teachers</w:t>
      </w:r>
      <w:r w:rsidR="0024129C" w:rsidRPr="00E6522E">
        <w:rPr>
          <w:rFonts w:cstheme="minorHAnsi"/>
        </w:rPr>
        <w:t xml:space="preserve">. </w:t>
      </w:r>
      <w:r w:rsidR="008D2BE3" w:rsidRPr="00E6522E">
        <w:rPr>
          <w:rFonts w:cstheme="minorHAnsi"/>
          <w:lang w:val="ka-GE"/>
        </w:rPr>
        <w:t>Reform</w:t>
      </w:r>
      <w:r w:rsidR="003E315C" w:rsidRPr="00E6522E">
        <w:rPr>
          <w:rFonts w:cstheme="minorHAnsi"/>
          <w:lang w:val="ka-GE"/>
        </w:rPr>
        <w:t xml:space="preserve"> also affect</w:t>
      </w:r>
      <w:r w:rsidR="0024129C" w:rsidRPr="00E6522E">
        <w:rPr>
          <w:rFonts w:cstheme="minorHAnsi"/>
        </w:rPr>
        <w:t xml:space="preserve">s capital spending for </w:t>
      </w:r>
      <w:r w:rsidR="003E315C" w:rsidRPr="00E6522E">
        <w:rPr>
          <w:rFonts w:cstheme="minorHAnsi"/>
        </w:rPr>
        <w:t xml:space="preserve">education </w:t>
      </w:r>
      <w:r w:rsidR="008D2BE3" w:rsidRPr="00E6522E">
        <w:rPr>
          <w:rFonts w:cstheme="minorHAnsi"/>
          <w:lang w:val="ka-GE"/>
        </w:rPr>
        <w:t>infrastructure</w:t>
      </w:r>
      <w:r w:rsidR="0024129C" w:rsidRPr="00E6522E">
        <w:rPr>
          <w:rFonts w:cstheme="minorHAnsi"/>
        </w:rPr>
        <w:t xml:space="preserve"> and</w:t>
      </w:r>
      <w:r w:rsidR="003E315C" w:rsidRPr="00E6522E">
        <w:rPr>
          <w:rFonts w:cstheme="minorHAnsi"/>
          <w:lang w:val="ka-GE"/>
        </w:rPr>
        <w:t xml:space="preserve"> equipment</w:t>
      </w:r>
      <w:r w:rsidR="008D2BE3" w:rsidRPr="00E6522E">
        <w:rPr>
          <w:rFonts w:cstheme="minorHAnsi"/>
          <w:lang w:val="ka-GE"/>
        </w:rPr>
        <w:t>.</w:t>
      </w:r>
      <w:r w:rsidR="00BB30E5" w:rsidRPr="00E6522E">
        <w:rPr>
          <w:rFonts w:cstheme="minorHAnsi"/>
        </w:rPr>
        <w:t xml:space="preserve"> </w:t>
      </w:r>
    </w:p>
    <w:p w:rsidR="004F6F62" w:rsidRPr="00E6522E" w:rsidRDefault="00BB30E5" w:rsidP="004F6F62">
      <w:pPr>
        <w:jc w:val="both"/>
        <w:rPr>
          <w:rFonts w:cstheme="minorHAnsi"/>
        </w:rPr>
      </w:pPr>
      <w:r w:rsidRPr="00E6522E">
        <w:rPr>
          <w:rFonts w:cstheme="minorHAnsi"/>
          <w:lang w:val="ka-GE"/>
        </w:rPr>
        <w:t xml:space="preserve">The spending also </w:t>
      </w:r>
      <w:r w:rsidRPr="00E6522E">
        <w:rPr>
          <w:rFonts w:cstheme="minorHAnsi"/>
        </w:rPr>
        <w:t xml:space="preserve">reflected </w:t>
      </w:r>
      <w:r w:rsidR="0024129C" w:rsidRPr="00E6522E">
        <w:rPr>
          <w:rFonts w:cstheme="minorHAnsi"/>
        </w:rPr>
        <w:t xml:space="preserve">the costs of social policies, such as </w:t>
      </w:r>
      <w:r w:rsidRPr="00E6522E">
        <w:rPr>
          <w:rFonts w:cstheme="minorHAnsi"/>
        </w:rPr>
        <w:t>increas</w:t>
      </w:r>
      <w:r w:rsidR="0024129C" w:rsidRPr="00E6522E">
        <w:rPr>
          <w:rFonts w:cstheme="minorHAnsi"/>
        </w:rPr>
        <w:t>e of</w:t>
      </w:r>
      <w:r w:rsidRPr="00E6522E">
        <w:rPr>
          <w:rFonts w:cstheme="minorHAnsi"/>
          <w:lang w:val="ka-GE"/>
        </w:rPr>
        <w:t xml:space="preserve"> pensions </w:t>
      </w:r>
      <w:r w:rsidR="0024129C" w:rsidRPr="00E6522E">
        <w:rPr>
          <w:rFonts w:cstheme="minorHAnsi"/>
        </w:rPr>
        <w:t xml:space="preserve">for elderly </w:t>
      </w:r>
      <w:r w:rsidRPr="00E6522E">
        <w:rPr>
          <w:rFonts w:cstheme="minorHAnsi"/>
          <w:lang w:val="ka-GE"/>
        </w:rPr>
        <w:t>and social benefits</w:t>
      </w:r>
      <w:r w:rsidR="0024129C" w:rsidRPr="00E6522E">
        <w:rPr>
          <w:rFonts w:cstheme="minorHAnsi"/>
        </w:rPr>
        <w:t xml:space="preserve"> for people with disabilities, </w:t>
      </w:r>
      <w:r w:rsidRPr="00E6522E">
        <w:rPr>
          <w:rFonts w:cstheme="minorHAnsi"/>
          <w:lang w:val="ka-GE"/>
        </w:rPr>
        <w:t xml:space="preserve">including </w:t>
      </w:r>
      <w:r w:rsidR="0024129C" w:rsidRPr="00E6522E">
        <w:rPr>
          <w:rFonts w:cstheme="minorHAnsi"/>
        </w:rPr>
        <w:t xml:space="preserve">higher increase for elderly above 70 from </w:t>
      </w:r>
      <w:r w:rsidRPr="00E6522E">
        <w:rPr>
          <w:rFonts w:cstheme="minorHAnsi"/>
        </w:rPr>
        <w:t>July 2020</w:t>
      </w:r>
      <w:r w:rsidRPr="00E6522E">
        <w:rPr>
          <w:rFonts w:cstheme="minorHAnsi"/>
          <w:lang w:val="ka-GE"/>
        </w:rPr>
        <w:t>.</w:t>
      </w:r>
      <w:r w:rsidR="00B13438" w:rsidRPr="00E6522E">
        <w:rPr>
          <w:rFonts w:cstheme="minorHAnsi"/>
        </w:rPr>
        <w:t xml:space="preserve"> </w:t>
      </w:r>
    </w:p>
    <w:p w:rsidR="004F6F62" w:rsidRPr="00E6522E" w:rsidRDefault="00B13438" w:rsidP="004F6F62">
      <w:pPr>
        <w:jc w:val="both"/>
        <w:rPr>
          <w:rFonts w:cstheme="minorHAnsi"/>
        </w:rPr>
      </w:pPr>
      <w:r w:rsidRPr="00E6522E">
        <w:rPr>
          <w:rFonts w:cstheme="minorHAnsi"/>
        </w:rPr>
        <w:t xml:space="preserve">Considering the ongoing </w:t>
      </w:r>
      <w:r w:rsidR="0024129C" w:rsidRPr="00E6522E">
        <w:rPr>
          <w:rFonts w:cstheme="minorHAnsi"/>
        </w:rPr>
        <w:t>complex</w:t>
      </w:r>
      <w:r w:rsidRPr="00E6522E">
        <w:rPr>
          <w:rFonts w:cstheme="minorHAnsi"/>
        </w:rPr>
        <w:t xml:space="preserve"> infrastructural projects (including the East-West Rikoti highway), forecasts of execution of non-financial assets, is reflected in the coming medium-term projection. </w:t>
      </w:r>
    </w:p>
    <w:p w:rsidR="004F6F62" w:rsidRPr="00E6522E" w:rsidRDefault="0024129C" w:rsidP="004F6F62">
      <w:pPr>
        <w:jc w:val="both"/>
        <w:rPr>
          <w:rFonts w:cstheme="minorHAnsi"/>
        </w:rPr>
      </w:pPr>
      <w:r w:rsidRPr="00E6522E">
        <w:rPr>
          <w:rFonts w:cstheme="minorHAnsi"/>
        </w:rPr>
        <w:t>C</w:t>
      </w:r>
      <w:r w:rsidR="00B13438" w:rsidRPr="00E6522E">
        <w:rPr>
          <w:rFonts w:cstheme="minorHAnsi"/>
          <w:lang w:val="ka-GE"/>
        </w:rPr>
        <w:t xml:space="preserve">apital </w:t>
      </w:r>
      <w:r w:rsidRPr="00E6522E">
        <w:rPr>
          <w:rFonts w:cstheme="minorHAnsi"/>
          <w:lang w:val="ka-GE"/>
        </w:rPr>
        <w:t xml:space="preserve">expenditure was also affected by the classification </w:t>
      </w:r>
      <w:r w:rsidRPr="00E6522E">
        <w:rPr>
          <w:rFonts w:cstheme="minorHAnsi"/>
        </w:rPr>
        <w:t>issues</w:t>
      </w:r>
      <w:r w:rsidRPr="00E6522E">
        <w:rPr>
          <w:rFonts w:cstheme="minorHAnsi"/>
          <w:lang w:val="ka-GE"/>
        </w:rPr>
        <w:t xml:space="preserve">. </w:t>
      </w:r>
      <w:r w:rsidRPr="00E6522E">
        <w:rPr>
          <w:rFonts w:cstheme="minorHAnsi"/>
        </w:rPr>
        <w:t>I</w:t>
      </w:r>
      <w:r w:rsidR="00B13438" w:rsidRPr="00E6522E">
        <w:rPr>
          <w:rFonts w:cstheme="minorHAnsi"/>
        </w:rPr>
        <w:t xml:space="preserve">ntroducing new GFSM 2014 </w:t>
      </w:r>
      <w:r w:rsidRPr="00E6522E">
        <w:rPr>
          <w:rFonts w:cstheme="minorHAnsi"/>
        </w:rPr>
        <w:t>classification</w:t>
      </w:r>
      <w:r w:rsidR="00B13438" w:rsidRPr="00E6522E">
        <w:rPr>
          <w:rFonts w:cstheme="minorHAnsi"/>
        </w:rPr>
        <w:t xml:space="preserve"> </w:t>
      </w:r>
      <w:r w:rsidR="00357D70" w:rsidRPr="00E6522E">
        <w:rPr>
          <w:rFonts w:cstheme="minorHAnsi"/>
          <w:lang w:val="ka-GE"/>
        </w:rPr>
        <w:t>and reclassifying</w:t>
      </w:r>
      <w:r w:rsidR="00B13438" w:rsidRPr="00E6522E">
        <w:rPr>
          <w:rFonts w:cstheme="minorHAnsi"/>
          <w:lang w:val="ka-GE"/>
        </w:rPr>
        <w:t xml:space="preserve"> contributions to state-owned enterprises (</w:t>
      </w:r>
      <w:r w:rsidR="00B13438" w:rsidRPr="00E6522E">
        <w:rPr>
          <w:rFonts w:cstheme="minorHAnsi"/>
        </w:rPr>
        <w:t>SOE)</w:t>
      </w:r>
      <w:r w:rsidR="00B13438" w:rsidRPr="00E6522E">
        <w:rPr>
          <w:rFonts w:cstheme="minorHAnsi"/>
          <w:lang w:val="ka-GE"/>
        </w:rPr>
        <w:t xml:space="preserve"> </w:t>
      </w:r>
      <w:r w:rsidR="00357D70" w:rsidRPr="00E6522E">
        <w:rPr>
          <w:rFonts w:cstheme="minorHAnsi"/>
        </w:rPr>
        <w:t xml:space="preserve">from lending to </w:t>
      </w:r>
      <w:r w:rsidR="00B13438" w:rsidRPr="00E6522E">
        <w:rPr>
          <w:rFonts w:cstheme="minorHAnsi"/>
          <w:lang w:val="ka-GE"/>
        </w:rPr>
        <w:t>current or capital spending</w:t>
      </w:r>
      <w:r w:rsidR="00357D70" w:rsidRPr="00E6522E">
        <w:rPr>
          <w:rFonts w:cstheme="minorHAnsi"/>
        </w:rPr>
        <w:t xml:space="preserve"> affected the distribution</w:t>
      </w:r>
      <w:r w:rsidR="00B13438" w:rsidRPr="00E6522E">
        <w:rPr>
          <w:rFonts w:cstheme="minorHAnsi"/>
          <w:lang w:val="ka-GE"/>
        </w:rPr>
        <w:t>.</w:t>
      </w:r>
      <w:r w:rsidR="004F6F62" w:rsidRPr="00E6522E">
        <w:rPr>
          <w:rFonts w:cstheme="minorHAnsi"/>
        </w:rPr>
        <w:t xml:space="preserve"> </w:t>
      </w:r>
    </w:p>
    <w:p w:rsidR="004F6F62" w:rsidRPr="00E6522E" w:rsidRDefault="00357D70" w:rsidP="004F6F62">
      <w:pPr>
        <w:jc w:val="both"/>
        <w:rPr>
          <w:rFonts w:cstheme="minorHAnsi"/>
        </w:rPr>
      </w:pPr>
      <w:r w:rsidRPr="00E6522E">
        <w:rPr>
          <w:rFonts w:cstheme="minorHAnsi"/>
        </w:rPr>
        <w:t>R</w:t>
      </w:r>
      <w:r w:rsidR="004F6F62" w:rsidRPr="00E6522E">
        <w:rPr>
          <w:rFonts w:cstheme="minorHAnsi"/>
        </w:rPr>
        <w:t>eduction of</w:t>
      </w:r>
      <w:r w:rsidR="004F6F62" w:rsidRPr="00E6522E">
        <w:rPr>
          <w:rFonts w:cstheme="minorHAnsi"/>
          <w:lang w:val="ka-GE"/>
        </w:rPr>
        <w:t xml:space="preserve"> both current and capital expenditure</w:t>
      </w:r>
      <w:r w:rsidRPr="00E6522E">
        <w:rPr>
          <w:rFonts w:cstheme="minorHAnsi"/>
        </w:rPr>
        <w:t>, as percent of</w:t>
      </w:r>
      <w:r w:rsidRPr="00E6522E">
        <w:rPr>
          <w:rFonts w:cstheme="minorHAnsi"/>
          <w:lang w:val="ka-GE"/>
        </w:rPr>
        <w:t xml:space="preserve"> GDP</w:t>
      </w:r>
      <w:r w:rsidR="004F6F62" w:rsidRPr="00E6522E">
        <w:rPr>
          <w:rFonts w:cstheme="minorHAnsi"/>
          <w:lang w:val="ka-GE"/>
        </w:rPr>
        <w:t xml:space="preserve"> </w:t>
      </w:r>
      <w:r w:rsidR="00921598" w:rsidRPr="00E6522E">
        <w:rPr>
          <w:rFonts w:cstheme="minorHAnsi"/>
        </w:rPr>
        <w:t>are caused by</w:t>
      </w:r>
      <w:r w:rsidR="004F6F62" w:rsidRPr="00E6522E">
        <w:rPr>
          <w:rFonts w:cstheme="minorHAnsi"/>
          <w:lang w:val="ka-GE"/>
        </w:rPr>
        <w:t xml:space="preserve"> the methodological changes </w:t>
      </w:r>
      <w:r w:rsidR="00921598" w:rsidRPr="00E6522E">
        <w:rPr>
          <w:rFonts w:cstheme="minorHAnsi"/>
        </w:rPr>
        <w:t xml:space="preserve">in </w:t>
      </w:r>
      <w:r w:rsidR="004F6F62" w:rsidRPr="00E6522E">
        <w:rPr>
          <w:rFonts w:cstheme="minorHAnsi"/>
          <w:lang w:val="ka-GE"/>
        </w:rPr>
        <w:t>Statistics</w:t>
      </w:r>
      <w:r w:rsidR="00921598" w:rsidRPr="00E6522E">
        <w:rPr>
          <w:rFonts w:cstheme="minorHAnsi"/>
        </w:rPr>
        <w:t xml:space="preserve"> (explained above).</w:t>
      </w:r>
      <w:r w:rsidR="004F6F62" w:rsidRPr="00E6522E">
        <w:rPr>
          <w:rFonts w:cstheme="minorHAnsi"/>
        </w:rPr>
        <w:t xml:space="preserve"> </w:t>
      </w:r>
    </w:p>
    <w:p w:rsidR="004F6F62" w:rsidRPr="00E6522E" w:rsidRDefault="004F6F62" w:rsidP="004F6F62">
      <w:pPr>
        <w:jc w:val="both"/>
        <w:rPr>
          <w:rFonts w:cstheme="minorHAnsi"/>
          <w:lang w:val="ka-GE"/>
        </w:rPr>
      </w:pPr>
      <w:r w:rsidRPr="00E6522E">
        <w:rPr>
          <w:rFonts w:cstheme="minorHAnsi"/>
          <w:lang w:val="ka-GE"/>
        </w:rPr>
        <w:t xml:space="preserve">By 2023, fiscal policy will keep current spending </w:t>
      </w:r>
      <w:r w:rsidR="00921598" w:rsidRPr="00E6522E">
        <w:rPr>
          <w:rFonts w:cstheme="minorHAnsi"/>
        </w:rPr>
        <w:t>low (below</w:t>
      </w:r>
      <w:r w:rsidRPr="00E6522E">
        <w:rPr>
          <w:rFonts w:cstheme="minorHAnsi"/>
          <w:lang w:val="ka-GE"/>
        </w:rPr>
        <w:t xml:space="preserve"> 22%</w:t>
      </w:r>
      <w:r w:rsidR="00921598" w:rsidRPr="00E6522E">
        <w:rPr>
          <w:rFonts w:cstheme="minorHAnsi"/>
        </w:rPr>
        <w:t>)</w:t>
      </w:r>
      <w:r w:rsidRPr="00E6522E">
        <w:rPr>
          <w:rFonts w:cstheme="minorHAnsi"/>
          <w:lang w:val="ka-GE"/>
        </w:rPr>
        <w:t xml:space="preserve"> and capital expenditure </w:t>
      </w:r>
      <w:r w:rsidRPr="00E6522E">
        <w:rPr>
          <w:rFonts w:cstheme="minorHAnsi"/>
        </w:rPr>
        <w:t>within</w:t>
      </w:r>
      <w:r w:rsidRPr="00E6522E">
        <w:rPr>
          <w:rFonts w:cstheme="minorHAnsi"/>
          <w:lang w:val="ka-GE"/>
        </w:rPr>
        <w:t xml:space="preserve"> 7%. The</w:t>
      </w:r>
      <w:r w:rsidR="00921598" w:rsidRPr="00E6522E">
        <w:rPr>
          <w:rFonts w:cstheme="minorHAnsi"/>
          <w:lang w:val="ka-GE"/>
        </w:rPr>
        <w:t xml:space="preserve"> policy of </w:t>
      </w:r>
      <w:r w:rsidRPr="00E6522E">
        <w:rPr>
          <w:rFonts w:cstheme="minorHAnsi"/>
          <w:lang w:val="ka-GE"/>
        </w:rPr>
        <w:t xml:space="preserve"> </w:t>
      </w:r>
      <w:r w:rsidR="00921598" w:rsidRPr="00E6522E">
        <w:rPr>
          <w:rFonts w:cstheme="minorHAnsi"/>
          <w:lang w:val="ka-GE"/>
        </w:rPr>
        <w:t xml:space="preserve">retaining </w:t>
      </w:r>
      <w:r w:rsidR="00921598" w:rsidRPr="00E6522E">
        <w:rPr>
          <w:rFonts w:cstheme="minorHAnsi"/>
        </w:rPr>
        <w:t>current spending and deficit low and focusing on capex while implementing education reform and social policies are reflected by</w:t>
      </w:r>
      <w:r w:rsidRPr="00E6522E">
        <w:rPr>
          <w:rFonts w:cstheme="minorHAnsi"/>
          <w:lang w:val="ka-GE"/>
        </w:rPr>
        <w:t xml:space="preserve"> both</w:t>
      </w:r>
      <w:r w:rsidR="00921598" w:rsidRPr="00E6522E">
        <w:rPr>
          <w:rFonts w:cstheme="minorHAnsi"/>
        </w:rPr>
        <w:t xml:space="preserve"> (2020-2023 and 2019-2022)</w:t>
      </w:r>
      <w:r w:rsidRPr="00E6522E">
        <w:rPr>
          <w:rFonts w:cstheme="minorHAnsi"/>
          <w:lang w:val="ka-GE"/>
        </w:rPr>
        <w:t xml:space="preserve"> macroeconomic and fiscal forecasts </w:t>
      </w:r>
      <w:r w:rsidR="00921598" w:rsidRPr="00E6522E">
        <w:rPr>
          <w:rFonts w:cstheme="minorHAnsi"/>
        </w:rPr>
        <w:t xml:space="preserve">for </w:t>
      </w:r>
      <w:r w:rsidR="00921598" w:rsidRPr="00E6522E">
        <w:rPr>
          <w:rFonts w:cstheme="minorHAnsi"/>
          <w:lang w:val="ka-GE"/>
        </w:rPr>
        <w:t xml:space="preserve">medium-term. </w:t>
      </w:r>
    </w:p>
    <w:tbl>
      <w:tblPr>
        <w:tblW w:w="5245" w:type="pct"/>
        <w:jc w:val="center"/>
        <w:tblLook w:val="04A0" w:firstRow="1" w:lastRow="0" w:firstColumn="1" w:lastColumn="0" w:noHBand="0" w:noVBand="1"/>
      </w:tblPr>
      <w:tblGrid>
        <w:gridCol w:w="2039"/>
        <w:gridCol w:w="750"/>
        <w:gridCol w:w="750"/>
        <w:gridCol w:w="752"/>
        <w:gridCol w:w="754"/>
        <w:gridCol w:w="756"/>
        <w:gridCol w:w="790"/>
        <w:gridCol w:w="1113"/>
        <w:gridCol w:w="790"/>
        <w:gridCol w:w="790"/>
        <w:gridCol w:w="794"/>
      </w:tblGrid>
      <w:tr w:rsidR="00074809" w:rsidRPr="00E6522E" w:rsidTr="00DB05A5">
        <w:trPr>
          <w:trHeight w:val="113"/>
          <w:tblHeader/>
          <w:jc w:val="center"/>
        </w:trPr>
        <w:tc>
          <w:tcPr>
            <w:tcW w:w="10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809" w:rsidRPr="00E6522E" w:rsidRDefault="00074809" w:rsidP="00074809">
            <w:pPr>
              <w:spacing w:after="0" w:line="240" w:lineRule="auto"/>
              <w:rPr>
                <w:rFonts w:eastAsia="Times New Roman" w:cstheme="minorHAnsi"/>
                <w:sz w:val="16"/>
                <w:szCs w:val="14"/>
              </w:rPr>
            </w:pPr>
            <w:r w:rsidRPr="00E6522E">
              <w:rPr>
                <w:rFonts w:eastAsia="Times New Roman" w:cstheme="minorHAnsi"/>
                <w:sz w:val="16"/>
                <w:szCs w:val="14"/>
              </w:rPr>
              <w:t> </w:t>
            </w:r>
          </w:p>
        </w:tc>
        <w:tc>
          <w:tcPr>
            <w:tcW w:w="1866" w:type="pct"/>
            <w:gridSpan w:val="5"/>
            <w:tcBorders>
              <w:top w:val="single" w:sz="4" w:space="0" w:color="auto"/>
              <w:left w:val="nil"/>
              <w:bottom w:val="single" w:sz="4" w:space="0" w:color="auto"/>
              <w:right w:val="single" w:sz="4" w:space="0" w:color="auto"/>
            </w:tcBorders>
            <w:shd w:val="clear" w:color="auto" w:fill="auto"/>
            <w:noWrap/>
            <w:vAlign w:val="bottom"/>
            <w:hideMark/>
          </w:tcPr>
          <w:p w:rsidR="00074809" w:rsidRPr="00E6522E" w:rsidRDefault="00EC445A" w:rsidP="00921598">
            <w:pPr>
              <w:spacing w:after="0" w:line="240" w:lineRule="auto"/>
              <w:jc w:val="center"/>
              <w:rPr>
                <w:rFonts w:eastAsia="Times New Roman" w:cstheme="minorHAnsi"/>
                <w:b/>
                <w:bCs/>
                <w:sz w:val="16"/>
                <w:szCs w:val="14"/>
              </w:rPr>
            </w:pPr>
            <w:r w:rsidRPr="00E6522E">
              <w:rPr>
                <w:rFonts w:eastAsia="Times New Roman" w:cstheme="minorHAnsi"/>
                <w:b/>
                <w:bCs/>
                <w:sz w:val="16"/>
                <w:szCs w:val="14"/>
              </w:rPr>
              <w:t xml:space="preserve">Consolidated </w:t>
            </w:r>
            <w:r w:rsidR="00921598" w:rsidRPr="00E6522E">
              <w:rPr>
                <w:rFonts w:eastAsia="Times New Roman" w:cstheme="minorHAnsi"/>
                <w:b/>
                <w:bCs/>
                <w:sz w:val="16"/>
                <w:szCs w:val="14"/>
              </w:rPr>
              <w:t>B</w:t>
            </w:r>
            <w:r w:rsidRPr="00E6522E">
              <w:rPr>
                <w:rFonts w:eastAsia="Times New Roman" w:cstheme="minorHAnsi"/>
                <w:b/>
                <w:bCs/>
                <w:sz w:val="16"/>
                <w:szCs w:val="14"/>
              </w:rPr>
              <w:t>udget</w:t>
            </w:r>
          </w:p>
        </w:tc>
        <w:tc>
          <w:tcPr>
            <w:tcW w:w="2122" w:type="pct"/>
            <w:gridSpan w:val="5"/>
            <w:tcBorders>
              <w:top w:val="single" w:sz="4" w:space="0" w:color="auto"/>
              <w:left w:val="nil"/>
              <w:bottom w:val="single" w:sz="4" w:space="0" w:color="auto"/>
              <w:right w:val="single" w:sz="4" w:space="0" w:color="auto"/>
            </w:tcBorders>
            <w:shd w:val="clear" w:color="auto" w:fill="auto"/>
            <w:noWrap/>
            <w:vAlign w:val="bottom"/>
            <w:hideMark/>
          </w:tcPr>
          <w:p w:rsidR="00074809" w:rsidRPr="00E6522E" w:rsidRDefault="00921598" w:rsidP="00074809">
            <w:pPr>
              <w:spacing w:after="0" w:line="240" w:lineRule="auto"/>
              <w:jc w:val="center"/>
              <w:rPr>
                <w:rFonts w:eastAsia="Times New Roman" w:cstheme="minorHAnsi"/>
                <w:b/>
                <w:bCs/>
                <w:sz w:val="16"/>
                <w:szCs w:val="14"/>
              </w:rPr>
            </w:pPr>
            <w:r w:rsidRPr="00E6522E">
              <w:rPr>
                <w:rFonts w:eastAsia="Times New Roman" w:cstheme="minorHAnsi"/>
                <w:b/>
                <w:bCs/>
                <w:sz w:val="16"/>
                <w:szCs w:val="14"/>
              </w:rPr>
              <w:t>General Government Budget</w:t>
            </w:r>
          </w:p>
        </w:tc>
      </w:tr>
      <w:tr w:rsidR="00074809" w:rsidRPr="00E6522E" w:rsidTr="00DB05A5">
        <w:trPr>
          <w:trHeight w:val="113"/>
          <w:tblHeader/>
          <w:jc w:val="center"/>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rsidR="00074809" w:rsidRPr="00E6522E" w:rsidRDefault="00074809" w:rsidP="00074809">
            <w:pPr>
              <w:spacing w:after="0" w:line="240" w:lineRule="auto"/>
              <w:rPr>
                <w:rFonts w:eastAsia="Times New Roman" w:cstheme="minorHAnsi"/>
                <w:sz w:val="16"/>
                <w:szCs w:val="14"/>
              </w:rPr>
            </w:pPr>
            <w:r w:rsidRPr="00E6522E">
              <w:rPr>
                <w:rFonts w:eastAsia="Times New Roman" w:cstheme="minorHAnsi"/>
                <w:sz w:val="16"/>
                <w:szCs w:val="14"/>
              </w:rPr>
              <w:t> </w:t>
            </w:r>
          </w:p>
        </w:tc>
        <w:tc>
          <w:tcPr>
            <w:tcW w:w="372" w:type="pct"/>
            <w:tcBorders>
              <w:top w:val="nil"/>
              <w:left w:val="nil"/>
              <w:bottom w:val="single" w:sz="4" w:space="0" w:color="auto"/>
              <w:right w:val="single" w:sz="4" w:space="0" w:color="auto"/>
            </w:tcBorders>
            <w:shd w:val="clear" w:color="auto" w:fill="auto"/>
            <w:noWrap/>
            <w:vAlign w:val="bottom"/>
            <w:hideMark/>
          </w:tcPr>
          <w:p w:rsidR="00074809" w:rsidRPr="00E6522E" w:rsidRDefault="00074809" w:rsidP="00074809">
            <w:pPr>
              <w:spacing w:after="0" w:line="240" w:lineRule="auto"/>
              <w:jc w:val="center"/>
              <w:rPr>
                <w:rFonts w:eastAsia="Times New Roman" w:cstheme="minorHAnsi"/>
                <w:b/>
                <w:bCs/>
                <w:sz w:val="16"/>
                <w:szCs w:val="14"/>
              </w:rPr>
            </w:pPr>
            <w:r w:rsidRPr="00E6522E">
              <w:rPr>
                <w:rFonts w:eastAsia="Times New Roman" w:cstheme="minorHAnsi"/>
                <w:b/>
                <w:bCs/>
                <w:sz w:val="16"/>
                <w:szCs w:val="14"/>
              </w:rPr>
              <w:t>2019</w:t>
            </w:r>
          </w:p>
        </w:tc>
        <w:tc>
          <w:tcPr>
            <w:tcW w:w="372" w:type="pct"/>
            <w:tcBorders>
              <w:top w:val="nil"/>
              <w:left w:val="nil"/>
              <w:bottom w:val="single" w:sz="4" w:space="0" w:color="auto"/>
              <w:right w:val="single" w:sz="4" w:space="0" w:color="auto"/>
            </w:tcBorders>
            <w:shd w:val="clear" w:color="auto" w:fill="auto"/>
            <w:noWrap/>
            <w:vAlign w:val="bottom"/>
            <w:hideMark/>
          </w:tcPr>
          <w:p w:rsidR="00074809" w:rsidRPr="00E6522E" w:rsidRDefault="00074809" w:rsidP="00074809">
            <w:pPr>
              <w:spacing w:after="0" w:line="240" w:lineRule="auto"/>
              <w:jc w:val="center"/>
              <w:rPr>
                <w:rFonts w:eastAsia="Times New Roman" w:cstheme="minorHAnsi"/>
                <w:b/>
                <w:bCs/>
                <w:sz w:val="16"/>
                <w:szCs w:val="14"/>
              </w:rPr>
            </w:pPr>
            <w:r w:rsidRPr="00E6522E">
              <w:rPr>
                <w:rFonts w:eastAsia="Times New Roman" w:cstheme="minorHAnsi"/>
                <w:b/>
                <w:bCs/>
                <w:sz w:val="16"/>
                <w:szCs w:val="14"/>
              </w:rPr>
              <w:t>2020</w:t>
            </w:r>
          </w:p>
        </w:tc>
        <w:tc>
          <w:tcPr>
            <w:tcW w:w="373" w:type="pct"/>
            <w:tcBorders>
              <w:top w:val="nil"/>
              <w:left w:val="nil"/>
              <w:bottom w:val="single" w:sz="4" w:space="0" w:color="auto"/>
              <w:right w:val="single" w:sz="4" w:space="0" w:color="auto"/>
            </w:tcBorders>
            <w:shd w:val="clear" w:color="auto" w:fill="auto"/>
            <w:noWrap/>
            <w:vAlign w:val="bottom"/>
            <w:hideMark/>
          </w:tcPr>
          <w:p w:rsidR="00074809" w:rsidRPr="00E6522E" w:rsidRDefault="00074809" w:rsidP="00074809">
            <w:pPr>
              <w:spacing w:after="0" w:line="240" w:lineRule="auto"/>
              <w:jc w:val="center"/>
              <w:rPr>
                <w:rFonts w:eastAsia="Times New Roman" w:cstheme="minorHAnsi"/>
                <w:b/>
                <w:bCs/>
                <w:sz w:val="16"/>
                <w:szCs w:val="14"/>
              </w:rPr>
            </w:pPr>
            <w:r w:rsidRPr="00E6522E">
              <w:rPr>
                <w:rFonts w:eastAsia="Times New Roman" w:cstheme="minorHAnsi"/>
                <w:b/>
                <w:bCs/>
                <w:sz w:val="16"/>
                <w:szCs w:val="14"/>
              </w:rPr>
              <w:t>2021</w:t>
            </w:r>
          </w:p>
        </w:tc>
        <w:tc>
          <w:tcPr>
            <w:tcW w:w="374" w:type="pct"/>
            <w:tcBorders>
              <w:top w:val="nil"/>
              <w:left w:val="nil"/>
              <w:bottom w:val="single" w:sz="4" w:space="0" w:color="auto"/>
              <w:right w:val="single" w:sz="4" w:space="0" w:color="auto"/>
            </w:tcBorders>
            <w:shd w:val="clear" w:color="auto" w:fill="auto"/>
            <w:noWrap/>
            <w:vAlign w:val="bottom"/>
            <w:hideMark/>
          </w:tcPr>
          <w:p w:rsidR="00074809" w:rsidRPr="00E6522E" w:rsidRDefault="00074809" w:rsidP="00074809">
            <w:pPr>
              <w:spacing w:after="0" w:line="240" w:lineRule="auto"/>
              <w:jc w:val="center"/>
              <w:rPr>
                <w:rFonts w:eastAsia="Times New Roman" w:cstheme="minorHAnsi"/>
                <w:b/>
                <w:bCs/>
                <w:sz w:val="16"/>
                <w:szCs w:val="14"/>
              </w:rPr>
            </w:pPr>
            <w:r w:rsidRPr="00E6522E">
              <w:rPr>
                <w:rFonts w:eastAsia="Times New Roman" w:cstheme="minorHAnsi"/>
                <w:b/>
                <w:bCs/>
                <w:sz w:val="16"/>
                <w:szCs w:val="14"/>
              </w:rPr>
              <w:t>2022</w:t>
            </w:r>
          </w:p>
        </w:tc>
        <w:tc>
          <w:tcPr>
            <w:tcW w:w="375" w:type="pct"/>
            <w:tcBorders>
              <w:top w:val="nil"/>
              <w:left w:val="nil"/>
              <w:bottom w:val="single" w:sz="4" w:space="0" w:color="auto"/>
              <w:right w:val="single" w:sz="4" w:space="0" w:color="auto"/>
            </w:tcBorders>
            <w:shd w:val="clear" w:color="000000" w:fill="FDE9D9"/>
            <w:noWrap/>
            <w:vAlign w:val="bottom"/>
            <w:hideMark/>
          </w:tcPr>
          <w:p w:rsidR="00074809" w:rsidRPr="00E6522E" w:rsidRDefault="00074809" w:rsidP="00074809">
            <w:pPr>
              <w:spacing w:after="0" w:line="240" w:lineRule="auto"/>
              <w:jc w:val="center"/>
              <w:rPr>
                <w:rFonts w:eastAsia="Times New Roman" w:cstheme="minorHAnsi"/>
                <w:b/>
                <w:bCs/>
                <w:sz w:val="16"/>
                <w:szCs w:val="14"/>
              </w:rPr>
            </w:pPr>
            <w:r w:rsidRPr="00E6522E">
              <w:rPr>
                <w:rFonts w:eastAsia="Times New Roman" w:cstheme="minorHAnsi"/>
                <w:b/>
                <w:bCs/>
                <w:sz w:val="16"/>
                <w:szCs w:val="14"/>
              </w:rPr>
              <w:t>2023</w:t>
            </w:r>
          </w:p>
        </w:tc>
        <w:tc>
          <w:tcPr>
            <w:tcW w:w="392" w:type="pct"/>
            <w:tcBorders>
              <w:top w:val="nil"/>
              <w:left w:val="nil"/>
              <w:bottom w:val="single" w:sz="4" w:space="0" w:color="auto"/>
              <w:right w:val="single" w:sz="4" w:space="0" w:color="auto"/>
            </w:tcBorders>
            <w:shd w:val="clear" w:color="auto" w:fill="auto"/>
            <w:noWrap/>
            <w:vAlign w:val="bottom"/>
            <w:hideMark/>
          </w:tcPr>
          <w:p w:rsidR="00074809" w:rsidRPr="00E6522E" w:rsidRDefault="00074809" w:rsidP="00074809">
            <w:pPr>
              <w:spacing w:after="0" w:line="240" w:lineRule="auto"/>
              <w:jc w:val="center"/>
              <w:rPr>
                <w:rFonts w:eastAsia="Times New Roman" w:cstheme="minorHAnsi"/>
                <w:b/>
                <w:bCs/>
                <w:sz w:val="16"/>
                <w:szCs w:val="14"/>
              </w:rPr>
            </w:pPr>
            <w:r w:rsidRPr="00E6522E">
              <w:rPr>
                <w:rFonts w:eastAsia="Times New Roman" w:cstheme="minorHAnsi"/>
                <w:b/>
                <w:bCs/>
                <w:sz w:val="16"/>
                <w:szCs w:val="14"/>
              </w:rPr>
              <w:t>2019</w:t>
            </w:r>
          </w:p>
        </w:tc>
        <w:tc>
          <w:tcPr>
            <w:tcW w:w="552" w:type="pct"/>
            <w:tcBorders>
              <w:top w:val="nil"/>
              <w:left w:val="nil"/>
              <w:bottom w:val="single" w:sz="4" w:space="0" w:color="auto"/>
              <w:right w:val="single" w:sz="4" w:space="0" w:color="auto"/>
            </w:tcBorders>
            <w:shd w:val="clear" w:color="auto" w:fill="auto"/>
            <w:noWrap/>
            <w:vAlign w:val="bottom"/>
            <w:hideMark/>
          </w:tcPr>
          <w:p w:rsidR="00074809" w:rsidRPr="00E6522E" w:rsidRDefault="00074809" w:rsidP="00074809">
            <w:pPr>
              <w:spacing w:after="0" w:line="240" w:lineRule="auto"/>
              <w:jc w:val="center"/>
              <w:rPr>
                <w:rFonts w:eastAsia="Times New Roman" w:cstheme="minorHAnsi"/>
                <w:b/>
                <w:bCs/>
                <w:sz w:val="16"/>
                <w:szCs w:val="14"/>
              </w:rPr>
            </w:pPr>
            <w:r w:rsidRPr="00E6522E">
              <w:rPr>
                <w:rFonts w:eastAsia="Times New Roman" w:cstheme="minorHAnsi"/>
                <w:b/>
                <w:bCs/>
                <w:sz w:val="16"/>
                <w:szCs w:val="14"/>
              </w:rPr>
              <w:t>2020</w:t>
            </w:r>
          </w:p>
        </w:tc>
        <w:tc>
          <w:tcPr>
            <w:tcW w:w="392" w:type="pct"/>
            <w:tcBorders>
              <w:top w:val="nil"/>
              <w:left w:val="nil"/>
              <w:bottom w:val="single" w:sz="4" w:space="0" w:color="auto"/>
              <w:right w:val="single" w:sz="4" w:space="0" w:color="auto"/>
            </w:tcBorders>
            <w:shd w:val="clear" w:color="auto" w:fill="auto"/>
            <w:noWrap/>
            <w:vAlign w:val="bottom"/>
            <w:hideMark/>
          </w:tcPr>
          <w:p w:rsidR="00074809" w:rsidRPr="00E6522E" w:rsidRDefault="00074809" w:rsidP="00074809">
            <w:pPr>
              <w:spacing w:after="0" w:line="240" w:lineRule="auto"/>
              <w:jc w:val="center"/>
              <w:rPr>
                <w:rFonts w:eastAsia="Times New Roman" w:cstheme="minorHAnsi"/>
                <w:b/>
                <w:bCs/>
                <w:sz w:val="16"/>
                <w:szCs w:val="14"/>
              </w:rPr>
            </w:pPr>
            <w:r w:rsidRPr="00E6522E">
              <w:rPr>
                <w:rFonts w:eastAsia="Times New Roman" w:cstheme="minorHAnsi"/>
                <w:b/>
                <w:bCs/>
                <w:sz w:val="16"/>
                <w:szCs w:val="14"/>
              </w:rPr>
              <w:t>2021</w:t>
            </w:r>
          </w:p>
        </w:tc>
        <w:tc>
          <w:tcPr>
            <w:tcW w:w="392" w:type="pct"/>
            <w:tcBorders>
              <w:top w:val="nil"/>
              <w:left w:val="nil"/>
              <w:bottom w:val="single" w:sz="4" w:space="0" w:color="auto"/>
              <w:right w:val="single" w:sz="4" w:space="0" w:color="auto"/>
            </w:tcBorders>
            <w:shd w:val="clear" w:color="auto" w:fill="auto"/>
            <w:noWrap/>
            <w:vAlign w:val="bottom"/>
            <w:hideMark/>
          </w:tcPr>
          <w:p w:rsidR="00074809" w:rsidRPr="00E6522E" w:rsidRDefault="00074809" w:rsidP="00074809">
            <w:pPr>
              <w:spacing w:after="0" w:line="240" w:lineRule="auto"/>
              <w:jc w:val="center"/>
              <w:rPr>
                <w:rFonts w:eastAsia="Times New Roman" w:cstheme="minorHAnsi"/>
                <w:b/>
                <w:bCs/>
                <w:sz w:val="16"/>
                <w:szCs w:val="14"/>
              </w:rPr>
            </w:pPr>
            <w:r w:rsidRPr="00E6522E">
              <w:rPr>
                <w:rFonts w:eastAsia="Times New Roman" w:cstheme="minorHAnsi"/>
                <w:b/>
                <w:bCs/>
                <w:sz w:val="16"/>
                <w:szCs w:val="14"/>
              </w:rPr>
              <w:t>2022</w:t>
            </w:r>
          </w:p>
        </w:tc>
        <w:tc>
          <w:tcPr>
            <w:tcW w:w="394" w:type="pct"/>
            <w:tcBorders>
              <w:top w:val="nil"/>
              <w:left w:val="nil"/>
              <w:bottom w:val="single" w:sz="4" w:space="0" w:color="auto"/>
              <w:right w:val="single" w:sz="4" w:space="0" w:color="auto"/>
            </w:tcBorders>
            <w:shd w:val="clear" w:color="000000" w:fill="FDE9D9"/>
            <w:noWrap/>
            <w:vAlign w:val="bottom"/>
            <w:hideMark/>
          </w:tcPr>
          <w:p w:rsidR="00074809" w:rsidRPr="00E6522E" w:rsidRDefault="00074809" w:rsidP="00074809">
            <w:pPr>
              <w:spacing w:after="0" w:line="240" w:lineRule="auto"/>
              <w:jc w:val="center"/>
              <w:rPr>
                <w:rFonts w:eastAsia="Times New Roman" w:cstheme="minorHAnsi"/>
                <w:b/>
                <w:bCs/>
                <w:sz w:val="16"/>
                <w:szCs w:val="14"/>
              </w:rPr>
            </w:pPr>
            <w:r w:rsidRPr="00E6522E">
              <w:rPr>
                <w:rFonts w:eastAsia="Times New Roman" w:cstheme="minorHAnsi"/>
                <w:b/>
                <w:bCs/>
                <w:sz w:val="16"/>
                <w:szCs w:val="14"/>
              </w:rPr>
              <w:t>2023</w:t>
            </w:r>
          </w:p>
        </w:tc>
      </w:tr>
      <w:tr w:rsidR="00074809" w:rsidRPr="00E6522E" w:rsidTr="00CF227E">
        <w:trPr>
          <w:trHeight w:val="113"/>
          <w:jc w:val="center"/>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74809" w:rsidRPr="00E6522E" w:rsidRDefault="00074809" w:rsidP="00074809">
            <w:pPr>
              <w:spacing w:after="0" w:line="240" w:lineRule="auto"/>
              <w:jc w:val="center"/>
              <w:rPr>
                <w:rFonts w:eastAsia="Times New Roman" w:cstheme="minorHAnsi"/>
                <w:sz w:val="16"/>
                <w:szCs w:val="14"/>
              </w:rPr>
            </w:pPr>
            <w:r w:rsidRPr="00E6522E">
              <w:rPr>
                <w:rFonts w:eastAsia="Times New Roman" w:cstheme="minorHAnsi"/>
                <w:sz w:val="16"/>
                <w:szCs w:val="14"/>
              </w:rPr>
              <w:t> </w:t>
            </w:r>
          </w:p>
        </w:tc>
      </w:tr>
      <w:tr w:rsidR="00074809" w:rsidRPr="00E6522E" w:rsidTr="00DB05A5">
        <w:trPr>
          <w:trHeight w:val="113"/>
          <w:jc w:val="center"/>
        </w:trPr>
        <w:tc>
          <w:tcPr>
            <w:tcW w:w="1012" w:type="pct"/>
            <w:tcBorders>
              <w:top w:val="nil"/>
              <w:left w:val="single" w:sz="4" w:space="0" w:color="auto"/>
              <w:bottom w:val="single" w:sz="4" w:space="0" w:color="auto"/>
              <w:right w:val="single" w:sz="4" w:space="0" w:color="auto"/>
            </w:tcBorders>
            <w:shd w:val="clear" w:color="auto" w:fill="auto"/>
            <w:vAlign w:val="bottom"/>
            <w:hideMark/>
          </w:tcPr>
          <w:p w:rsidR="00074809" w:rsidRPr="00E6522E" w:rsidRDefault="00EC445A" w:rsidP="00074809">
            <w:pPr>
              <w:spacing w:after="0" w:line="240" w:lineRule="auto"/>
              <w:rPr>
                <w:rFonts w:eastAsia="Times New Roman" w:cstheme="minorHAnsi"/>
                <w:b/>
                <w:bCs/>
                <w:sz w:val="16"/>
                <w:szCs w:val="14"/>
              </w:rPr>
            </w:pPr>
            <w:r w:rsidRPr="00E6522E">
              <w:rPr>
                <w:rFonts w:eastAsia="Times New Roman" w:cstheme="minorHAnsi"/>
                <w:b/>
                <w:bCs/>
                <w:sz w:val="16"/>
                <w:szCs w:val="14"/>
              </w:rPr>
              <w:t>Total balance</w:t>
            </w:r>
          </w:p>
        </w:tc>
        <w:tc>
          <w:tcPr>
            <w:tcW w:w="3988" w:type="pct"/>
            <w:gridSpan w:val="10"/>
            <w:tcBorders>
              <w:top w:val="nil"/>
              <w:left w:val="nil"/>
              <w:bottom w:val="single" w:sz="4" w:space="0" w:color="auto"/>
              <w:right w:val="single" w:sz="4" w:space="0" w:color="auto"/>
            </w:tcBorders>
            <w:shd w:val="clear" w:color="auto" w:fill="auto"/>
            <w:noWrap/>
            <w:vAlign w:val="center"/>
            <w:hideMark/>
          </w:tcPr>
          <w:p w:rsidR="00074809" w:rsidRPr="00E6522E" w:rsidRDefault="00074809" w:rsidP="00074809">
            <w:pPr>
              <w:spacing w:after="0" w:line="240" w:lineRule="auto"/>
              <w:rPr>
                <w:rFonts w:eastAsia="Times New Roman" w:cstheme="minorHAnsi"/>
                <w:sz w:val="16"/>
                <w:szCs w:val="14"/>
              </w:rPr>
            </w:pPr>
            <w:r w:rsidRPr="00E6522E">
              <w:rPr>
                <w:rFonts w:eastAsia="Times New Roman" w:cstheme="minorHAnsi"/>
                <w:sz w:val="16"/>
                <w:szCs w:val="14"/>
              </w:rPr>
              <w:t> </w:t>
            </w:r>
          </w:p>
        </w:tc>
      </w:tr>
      <w:tr w:rsidR="00DB05A5" w:rsidRPr="00E6522E" w:rsidTr="00DB05A5">
        <w:trPr>
          <w:trHeight w:val="113"/>
          <w:jc w:val="center"/>
        </w:trPr>
        <w:tc>
          <w:tcPr>
            <w:tcW w:w="1012" w:type="pct"/>
            <w:tcBorders>
              <w:top w:val="nil"/>
              <w:left w:val="single" w:sz="4" w:space="0" w:color="auto"/>
              <w:bottom w:val="single" w:sz="4" w:space="0" w:color="auto"/>
              <w:right w:val="single" w:sz="4" w:space="0" w:color="auto"/>
            </w:tcBorders>
            <w:shd w:val="clear" w:color="auto" w:fill="auto"/>
            <w:vAlign w:val="bottom"/>
            <w:hideMark/>
          </w:tcPr>
          <w:p w:rsidR="00DB05A5" w:rsidRPr="00E6522E" w:rsidRDefault="00DB05A5" w:rsidP="00DB05A5">
            <w:pPr>
              <w:spacing w:after="0" w:line="240" w:lineRule="auto"/>
              <w:rPr>
                <w:rFonts w:eastAsia="Times New Roman" w:cstheme="minorHAnsi"/>
                <w:sz w:val="18"/>
                <w:szCs w:val="20"/>
              </w:rPr>
            </w:pPr>
            <w:r w:rsidRPr="00E6522E">
              <w:rPr>
                <w:rFonts w:eastAsia="Times New Roman" w:cstheme="minorHAnsi"/>
                <w:sz w:val="18"/>
                <w:szCs w:val="20"/>
              </w:rPr>
              <w:t xml:space="preserve">2019-2022 </w:t>
            </w:r>
            <w:r w:rsidR="00A21683" w:rsidRPr="00E6522E">
              <w:rPr>
                <w:rFonts w:eastAsia="Times New Roman" w:cstheme="minorHAnsi"/>
                <w:sz w:val="18"/>
                <w:szCs w:val="20"/>
              </w:rPr>
              <w:t>Forecast</w:t>
            </w:r>
          </w:p>
        </w:tc>
        <w:tc>
          <w:tcPr>
            <w:tcW w:w="37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-970,0</w:t>
            </w:r>
          </w:p>
        </w:tc>
        <w:tc>
          <w:tcPr>
            <w:tcW w:w="37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-1 018,0</w:t>
            </w:r>
          </w:p>
        </w:tc>
        <w:tc>
          <w:tcPr>
            <w:tcW w:w="373"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-1 029,0</w:t>
            </w:r>
          </w:p>
        </w:tc>
        <w:tc>
          <w:tcPr>
            <w:tcW w:w="374"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-1 155,0</w:t>
            </w:r>
          </w:p>
        </w:tc>
        <w:tc>
          <w:tcPr>
            <w:tcW w:w="375" w:type="pct"/>
            <w:tcBorders>
              <w:top w:val="nil"/>
              <w:left w:val="nil"/>
              <w:bottom w:val="single" w:sz="4" w:space="0" w:color="auto"/>
              <w:right w:val="single" w:sz="4" w:space="0" w:color="auto"/>
            </w:tcBorders>
            <w:shd w:val="clear" w:color="000000" w:fill="FDE9D9"/>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 </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-1 070,0</w:t>
            </w:r>
          </w:p>
        </w:tc>
        <w:tc>
          <w:tcPr>
            <w:tcW w:w="552" w:type="pct"/>
            <w:tcBorders>
              <w:top w:val="nil"/>
              <w:left w:val="nil"/>
              <w:bottom w:val="single" w:sz="4" w:space="0" w:color="auto"/>
              <w:right w:val="single" w:sz="4" w:space="0" w:color="auto"/>
            </w:tcBorders>
            <w:shd w:val="clear" w:color="auto" w:fill="auto"/>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-1 140,0</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-1 150,0</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-1 276,0</w:t>
            </w:r>
          </w:p>
        </w:tc>
        <w:tc>
          <w:tcPr>
            <w:tcW w:w="394" w:type="pct"/>
            <w:tcBorders>
              <w:top w:val="nil"/>
              <w:left w:val="nil"/>
              <w:bottom w:val="single" w:sz="4" w:space="0" w:color="auto"/>
              <w:right w:val="single" w:sz="4" w:space="0" w:color="auto"/>
            </w:tcBorders>
            <w:shd w:val="clear" w:color="000000" w:fill="FDE9D9"/>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 </w:t>
            </w:r>
          </w:p>
        </w:tc>
      </w:tr>
      <w:tr w:rsidR="00DB05A5" w:rsidRPr="00E6522E" w:rsidTr="00DB05A5">
        <w:trPr>
          <w:trHeight w:val="113"/>
          <w:jc w:val="center"/>
        </w:trPr>
        <w:tc>
          <w:tcPr>
            <w:tcW w:w="1012" w:type="pct"/>
            <w:tcBorders>
              <w:top w:val="nil"/>
              <w:left w:val="single" w:sz="4" w:space="0" w:color="auto"/>
              <w:bottom w:val="single" w:sz="4" w:space="0" w:color="auto"/>
              <w:right w:val="single" w:sz="4" w:space="0" w:color="auto"/>
            </w:tcBorders>
            <w:shd w:val="clear" w:color="auto" w:fill="auto"/>
            <w:vAlign w:val="bottom"/>
            <w:hideMark/>
          </w:tcPr>
          <w:p w:rsidR="00DB05A5" w:rsidRPr="00E6522E" w:rsidRDefault="00DB05A5" w:rsidP="00DB05A5">
            <w:pPr>
              <w:spacing w:after="0" w:line="240" w:lineRule="auto"/>
              <w:rPr>
                <w:rFonts w:eastAsia="Times New Roman" w:cstheme="minorHAnsi"/>
                <w:sz w:val="18"/>
                <w:szCs w:val="20"/>
              </w:rPr>
            </w:pPr>
            <w:r w:rsidRPr="00E6522E">
              <w:rPr>
                <w:rFonts w:eastAsia="Times New Roman" w:cstheme="minorHAnsi"/>
                <w:sz w:val="18"/>
                <w:szCs w:val="20"/>
              </w:rPr>
              <w:t xml:space="preserve">2020-2023 </w:t>
            </w:r>
            <w:r w:rsidR="00A21683" w:rsidRPr="00E6522E">
              <w:rPr>
                <w:rFonts w:eastAsia="Times New Roman" w:cstheme="minorHAnsi"/>
                <w:sz w:val="18"/>
                <w:szCs w:val="20"/>
              </w:rPr>
              <w:t>Forecast</w:t>
            </w:r>
          </w:p>
        </w:tc>
        <w:tc>
          <w:tcPr>
            <w:tcW w:w="37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-1 047,0</w:t>
            </w:r>
          </w:p>
        </w:tc>
        <w:tc>
          <w:tcPr>
            <w:tcW w:w="37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-1 257,0</w:t>
            </w:r>
          </w:p>
        </w:tc>
        <w:tc>
          <w:tcPr>
            <w:tcW w:w="373"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-1 243,0</w:t>
            </w:r>
          </w:p>
        </w:tc>
        <w:tc>
          <w:tcPr>
            <w:tcW w:w="374"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-1 398,0</w:t>
            </w:r>
          </w:p>
        </w:tc>
        <w:tc>
          <w:tcPr>
            <w:tcW w:w="375" w:type="pct"/>
            <w:tcBorders>
              <w:top w:val="nil"/>
              <w:left w:val="nil"/>
              <w:bottom w:val="single" w:sz="4" w:space="0" w:color="auto"/>
              <w:right w:val="single" w:sz="4" w:space="0" w:color="auto"/>
            </w:tcBorders>
            <w:shd w:val="clear" w:color="000000" w:fill="FDE9D9"/>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-1 491,0</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-1 146,7</w:t>
            </w:r>
          </w:p>
        </w:tc>
        <w:tc>
          <w:tcPr>
            <w:tcW w:w="552" w:type="pct"/>
            <w:tcBorders>
              <w:top w:val="nil"/>
              <w:left w:val="nil"/>
              <w:bottom w:val="single" w:sz="4" w:space="0" w:color="auto"/>
              <w:right w:val="single" w:sz="4" w:space="0" w:color="auto"/>
            </w:tcBorders>
            <w:shd w:val="clear" w:color="auto" w:fill="auto"/>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-1 333,4</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-1 323,7</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-1 481,5</w:t>
            </w:r>
          </w:p>
        </w:tc>
        <w:tc>
          <w:tcPr>
            <w:tcW w:w="394" w:type="pct"/>
            <w:tcBorders>
              <w:top w:val="nil"/>
              <w:left w:val="nil"/>
              <w:bottom w:val="single" w:sz="4" w:space="0" w:color="auto"/>
              <w:right w:val="single" w:sz="4" w:space="0" w:color="auto"/>
            </w:tcBorders>
            <w:shd w:val="clear" w:color="000000" w:fill="FDE9D9"/>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-1 577,4</w:t>
            </w:r>
          </w:p>
        </w:tc>
      </w:tr>
      <w:tr w:rsidR="00074809" w:rsidRPr="00E6522E" w:rsidTr="00CF227E">
        <w:trPr>
          <w:trHeight w:val="113"/>
          <w:jc w:val="center"/>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74809" w:rsidRPr="00E6522E" w:rsidRDefault="00074809" w:rsidP="00074809">
            <w:pPr>
              <w:spacing w:after="0" w:line="240" w:lineRule="auto"/>
              <w:jc w:val="center"/>
              <w:rPr>
                <w:rFonts w:eastAsia="Times New Roman" w:cstheme="minorHAnsi"/>
                <w:sz w:val="16"/>
                <w:szCs w:val="14"/>
              </w:rPr>
            </w:pPr>
            <w:r w:rsidRPr="00E6522E">
              <w:rPr>
                <w:rFonts w:eastAsia="Times New Roman" w:cstheme="minorHAnsi"/>
                <w:sz w:val="16"/>
                <w:szCs w:val="14"/>
              </w:rPr>
              <w:t> </w:t>
            </w:r>
          </w:p>
        </w:tc>
      </w:tr>
      <w:tr w:rsidR="00074809" w:rsidRPr="00E6522E" w:rsidTr="00DB05A5">
        <w:trPr>
          <w:trHeight w:val="113"/>
          <w:jc w:val="center"/>
        </w:trPr>
        <w:tc>
          <w:tcPr>
            <w:tcW w:w="1012" w:type="pct"/>
            <w:tcBorders>
              <w:top w:val="nil"/>
              <w:left w:val="single" w:sz="4" w:space="0" w:color="auto"/>
              <w:bottom w:val="single" w:sz="4" w:space="0" w:color="auto"/>
              <w:right w:val="single" w:sz="4" w:space="0" w:color="auto"/>
            </w:tcBorders>
            <w:shd w:val="clear" w:color="auto" w:fill="auto"/>
            <w:vAlign w:val="bottom"/>
            <w:hideMark/>
          </w:tcPr>
          <w:p w:rsidR="00074809" w:rsidRPr="00E6522E" w:rsidRDefault="004F6F62" w:rsidP="004F6F62">
            <w:pPr>
              <w:spacing w:after="0" w:line="240" w:lineRule="auto"/>
              <w:rPr>
                <w:rFonts w:eastAsia="Times New Roman" w:cstheme="minorHAnsi"/>
                <w:b/>
                <w:bCs/>
                <w:sz w:val="16"/>
                <w:szCs w:val="14"/>
              </w:rPr>
            </w:pPr>
            <w:r w:rsidRPr="00E6522E">
              <w:rPr>
                <w:rFonts w:eastAsia="Times New Roman" w:cstheme="minorHAnsi"/>
                <w:b/>
                <w:bCs/>
                <w:sz w:val="16"/>
                <w:szCs w:val="14"/>
              </w:rPr>
              <w:t xml:space="preserve"> </w:t>
            </w:r>
            <w:r w:rsidR="00EC445A" w:rsidRPr="00E6522E">
              <w:rPr>
                <w:rFonts w:eastAsia="Times New Roman" w:cstheme="minorHAnsi"/>
                <w:b/>
                <w:bCs/>
                <w:sz w:val="16"/>
                <w:szCs w:val="14"/>
              </w:rPr>
              <w:t>Modified defi</w:t>
            </w:r>
            <w:r w:rsidRPr="00E6522E">
              <w:rPr>
                <w:rFonts w:eastAsia="Times New Roman" w:cstheme="minorHAnsi"/>
                <w:b/>
                <w:bCs/>
                <w:sz w:val="16"/>
                <w:szCs w:val="14"/>
              </w:rPr>
              <w:t>cit (IMF program)</w:t>
            </w:r>
          </w:p>
        </w:tc>
        <w:tc>
          <w:tcPr>
            <w:tcW w:w="3988" w:type="pct"/>
            <w:gridSpan w:val="10"/>
            <w:tcBorders>
              <w:top w:val="nil"/>
              <w:left w:val="nil"/>
              <w:bottom w:val="single" w:sz="4" w:space="0" w:color="auto"/>
              <w:right w:val="single" w:sz="4" w:space="0" w:color="auto"/>
            </w:tcBorders>
            <w:shd w:val="clear" w:color="auto" w:fill="auto"/>
            <w:noWrap/>
            <w:vAlign w:val="center"/>
            <w:hideMark/>
          </w:tcPr>
          <w:p w:rsidR="00074809" w:rsidRPr="00E6522E" w:rsidRDefault="00074809" w:rsidP="00074809">
            <w:pPr>
              <w:spacing w:after="0" w:line="240" w:lineRule="auto"/>
              <w:rPr>
                <w:rFonts w:eastAsia="Times New Roman" w:cstheme="minorHAnsi"/>
                <w:sz w:val="16"/>
                <w:szCs w:val="14"/>
              </w:rPr>
            </w:pPr>
          </w:p>
        </w:tc>
      </w:tr>
      <w:tr w:rsidR="00DB05A5" w:rsidRPr="00E6522E" w:rsidTr="00DB05A5">
        <w:trPr>
          <w:trHeight w:val="113"/>
          <w:jc w:val="center"/>
        </w:trPr>
        <w:tc>
          <w:tcPr>
            <w:tcW w:w="1012" w:type="pct"/>
            <w:tcBorders>
              <w:top w:val="nil"/>
              <w:left w:val="single" w:sz="4" w:space="0" w:color="auto"/>
              <w:bottom w:val="single" w:sz="4" w:space="0" w:color="auto"/>
              <w:right w:val="single" w:sz="4" w:space="0" w:color="auto"/>
            </w:tcBorders>
            <w:shd w:val="clear" w:color="auto" w:fill="auto"/>
            <w:vAlign w:val="bottom"/>
            <w:hideMark/>
          </w:tcPr>
          <w:p w:rsidR="00DB05A5" w:rsidRPr="00E6522E" w:rsidRDefault="00DB05A5" w:rsidP="00DB05A5">
            <w:pPr>
              <w:spacing w:after="0" w:line="240" w:lineRule="auto"/>
              <w:rPr>
                <w:rFonts w:eastAsia="Times New Roman" w:cstheme="minorHAnsi"/>
                <w:sz w:val="18"/>
                <w:szCs w:val="20"/>
              </w:rPr>
            </w:pPr>
            <w:r w:rsidRPr="00E6522E">
              <w:rPr>
                <w:rFonts w:eastAsia="Times New Roman" w:cstheme="minorHAnsi"/>
                <w:sz w:val="18"/>
                <w:szCs w:val="20"/>
              </w:rPr>
              <w:t xml:space="preserve">2019-2022 </w:t>
            </w:r>
            <w:r w:rsidR="00A21683" w:rsidRPr="00E6522E">
              <w:rPr>
                <w:rFonts w:eastAsia="Times New Roman" w:cstheme="minorHAnsi"/>
                <w:sz w:val="18"/>
                <w:szCs w:val="20"/>
              </w:rPr>
              <w:t>Forecast</w:t>
            </w:r>
          </w:p>
        </w:tc>
        <w:tc>
          <w:tcPr>
            <w:tcW w:w="37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-1 183,0</w:t>
            </w:r>
          </w:p>
        </w:tc>
        <w:tc>
          <w:tcPr>
            <w:tcW w:w="37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-1 218,0</w:t>
            </w:r>
          </w:p>
        </w:tc>
        <w:tc>
          <w:tcPr>
            <w:tcW w:w="373"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-1 339,0</w:t>
            </w:r>
          </w:p>
        </w:tc>
        <w:tc>
          <w:tcPr>
            <w:tcW w:w="374"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-1 435,0</w:t>
            </w:r>
          </w:p>
        </w:tc>
        <w:tc>
          <w:tcPr>
            <w:tcW w:w="375" w:type="pct"/>
            <w:tcBorders>
              <w:top w:val="nil"/>
              <w:left w:val="nil"/>
              <w:bottom w:val="single" w:sz="4" w:space="0" w:color="auto"/>
              <w:right w:val="single" w:sz="4" w:space="0" w:color="auto"/>
            </w:tcBorders>
            <w:shd w:val="clear" w:color="000000" w:fill="FDE9D9"/>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 </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-1 283,0</w:t>
            </w:r>
          </w:p>
        </w:tc>
        <w:tc>
          <w:tcPr>
            <w:tcW w:w="552" w:type="pct"/>
            <w:tcBorders>
              <w:top w:val="nil"/>
              <w:left w:val="nil"/>
              <w:bottom w:val="single" w:sz="4" w:space="0" w:color="auto"/>
              <w:right w:val="single" w:sz="4" w:space="0" w:color="auto"/>
            </w:tcBorders>
            <w:shd w:val="clear" w:color="auto" w:fill="auto"/>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-1 340,0</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-1 460,0</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-1 556,0</w:t>
            </w:r>
          </w:p>
        </w:tc>
        <w:tc>
          <w:tcPr>
            <w:tcW w:w="394" w:type="pct"/>
            <w:tcBorders>
              <w:top w:val="nil"/>
              <w:left w:val="nil"/>
              <w:bottom w:val="single" w:sz="4" w:space="0" w:color="auto"/>
              <w:right w:val="single" w:sz="4" w:space="0" w:color="auto"/>
            </w:tcBorders>
            <w:shd w:val="clear" w:color="000000" w:fill="FDE9D9"/>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 </w:t>
            </w:r>
          </w:p>
        </w:tc>
      </w:tr>
      <w:tr w:rsidR="00DB05A5" w:rsidRPr="00E6522E" w:rsidTr="00DB05A5">
        <w:trPr>
          <w:trHeight w:val="113"/>
          <w:jc w:val="center"/>
        </w:trPr>
        <w:tc>
          <w:tcPr>
            <w:tcW w:w="1012" w:type="pct"/>
            <w:tcBorders>
              <w:top w:val="nil"/>
              <w:left w:val="single" w:sz="4" w:space="0" w:color="auto"/>
              <w:bottom w:val="single" w:sz="4" w:space="0" w:color="auto"/>
              <w:right w:val="single" w:sz="4" w:space="0" w:color="auto"/>
            </w:tcBorders>
            <w:shd w:val="clear" w:color="auto" w:fill="auto"/>
            <w:vAlign w:val="bottom"/>
            <w:hideMark/>
          </w:tcPr>
          <w:p w:rsidR="00DB05A5" w:rsidRPr="00E6522E" w:rsidRDefault="00DB05A5" w:rsidP="00DB05A5">
            <w:pPr>
              <w:spacing w:after="0" w:line="240" w:lineRule="auto"/>
              <w:rPr>
                <w:rFonts w:eastAsia="Times New Roman" w:cstheme="minorHAnsi"/>
                <w:sz w:val="18"/>
                <w:szCs w:val="20"/>
              </w:rPr>
            </w:pPr>
            <w:r w:rsidRPr="00E6522E">
              <w:rPr>
                <w:rFonts w:eastAsia="Times New Roman" w:cstheme="minorHAnsi"/>
                <w:sz w:val="18"/>
                <w:szCs w:val="20"/>
              </w:rPr>
              <w:t xml:space="preserve">2020-2023 </w:t>
            </w:r>
            <w:r w:rsidR="00A21683" w:rsidRPr="00E6522E">
              <w:rPr>
                <w:rFonts w:eastAsia="Times New Roman" w:cstheme="minorHAnsi"/>
                <w:sz w:val="18"/>
                <w:szCs w:val="20"/>
              </w:rPr>
              <w:t>Forecast</w:t>
            </w:r>
          </w:p>
        </w:tc>
        <w:tc>
          <w:tcPr>
            <w:tcW w:w="37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-1 177,0</w:t>
            </w:r>
          </w:p>
        </w:tc>
        <w:tc>
          <w:tcPr>
            <w:tcW w:w="37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-1 319,0</w:t>
            </w:r>
          </w:p>
        </w:tc>
        <w:tc>
          <w:tcPr>
            <w:tcW w:w="373"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-1 498,0</w:t>
            </w:r>
          </w:p>
        </w:tc>
        <w:tc>
          <w:tcPr>
            <w:tcW w:w="374"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-1 668,0</w:t>
            </w:r>
          </w:p>
        </w:tc>
        <w:tc>
          <w:tcPr>
            <w:tcW w:w="375" w:type="pct"/>
            <w:tcBorders>
              <w:top w:val="nil"/>
              <w:left w:val="nil"/>
              <w:bottom w:val="single" w:sz="4" w:space="0" w:color="auto"/>
              <w:right w:val="single" w:sz="4" w:space="0" w:color="auto"/>
            </w:tcBorders>
            <w:shd w:val="clear" w:color="000000" w:fill="FDE9D9"/>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-1 741,0</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-1 277,0</w:t>
            </w:r>
          </w:p>
        </w:tc>
        <w:tc>
          <w:tcPr>
            <w:tcW w:w="552" w:type="pct"/>
            <w:tcBorders>
              <w:top w:val="nil"/>
              <w:left w:val="nil"/>
              <w:bottom w:val="single" w:sz="4" w:space="0" w:color="auto"/>
              <w:right w:val="single" w:sz="4" w:space="0" w:color="auto"/>
            </w:tcBorders>
            <w:shd w:val="clear" w:color="auto" w:fill="auto"/>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-1 395,6</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-1 578,7</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-1 751,5</w:t>
            </w:r>
          </w:p>
        </w:tc>
        <w:tc>
          <w:tcPr>
            <w:tcW w:w="394" w:type="pct"/>
            <w:tcBorders>
              <w:top w:val="nil"/>
              <w:left w:val="nil"/>
              <w:bottom w:val="single" w:sz="4" w:space="0" w:color="auto"/>
              <w:right w:val="single" w:sz="4" w:space="0" w:color="auto"/>
            </w:tcBorders>
            <w:shd w:val="clear" w:color="000000" w:fill="FDE9D9"/>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-1 827,4</w:t>
            </w:r>
          </w:p>
        </w:tc>
      </w:tr>
      <w:tr w:rsidR="00074809" w:rsidRPr="00E6522E" w:rsidTr="00CF227E">
        <w:trPr>
          <w:trHeight w:val="113"/>
          <w:jc w:val="center"/>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74809" w:rsidRPr="00E6522E" w:rsidRDefault="00074809" w:rsidP="00074809">
            <w:pPr>
              <w:spacing w:after="0" w:line="240" w:lineRule="auto"/>
              <w:jc w:val="center"/>
              <w:rPr>
                <w:rFonts w:eastAsia="Times New Roman" w:cstheme="minorHAnsi"/>
                <w:sz w:val="16"/>
                <w:szCs w:val="14"/>
              </w:rPr>
            </w:pPr>
            <w:r w:rsidRPr="00E6522E">
              <w:rPr>
                <w:rFonts w:eastAsia="Times New Roman" w:cstheme="minorHAnsi"/>
                <w:sz w:val="16"/>
                <w:szCs w:val="14"/>
              </w:rPr>
              <w:t> </w:t>
            </w:r>
          </w:p>
        </w:tc>
      </w:tr>
      <w:tr w:rsidR="00074809" w:rsidRPr="00E6522E" w:rsidTr="00CF227E">
        <w:trPr>
          <w:trHeight w:val="113"/>
          <w:jc w:val="center"/>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4809" w:rsidRPr="00E6522E" w:rsidRDefault="006D3986" w:rsidP="00074809">
            <w:pPr>
              <w:spacing w:after="0" w:line="240" w:lineRule="auto"/>
              <w:jc w:val="center"/>
              <w:rPr>
                <w:rFonts w:eastAsia="Times New Roman" w:cstheme="minorHAnsi"/>
                <w:b/>
                <w:bCs/>
                <w:sz w:val="16"/>
                <w:szCs w:val="14"/>
                <w:lang w:val="ka-GE"/>
              </w:rPr>
            </w:pPr>
            <w:r w:rsidRPr="00E6522E">
              <w:rPr>
                <w:rFonts w:eastAsia="Times New Roman" w:cstheme="minorHAnsi"/>
                <w:b/>
                <w:sz w:val="18"/>
                <w:szCs w:val="18"/>
              </w:rPr>
              <w:t>% of GDP</w:t>
            </w:r>
          </w:p>
        </w:tc>
      </w:tr>
      <w:tr w:rsidR="00074809" w:rsidRPr="00E6522E" w:rsidTr="00DB05A5">
        <w:trPr>
          <w:trHeight w:val="113"/>
          <w:jc w:val="center"/>
        </w:trPr>
        <w:tc>
          <w:tcPr>
            <w:tcW w:w="1012" w:type="pct"/>
            <w:tcBorders>
              <w:top w:val="nil"/>
              <w:left w:val="single" w:sz="4" w:space="0" w:color="auto"/>
              <w:bottom w:val="single" w:sz="4" w:space="0" w:color="auto"/>
              <w:right w:val="single" w:sz="4" w:space="0" w:color="auto"/>
            </w:tcBorders>
            <w:shd w:val="clear" w:color="auto" w:fill="auto"/>
            <w:vAlign w:val="bottom"/>
            <w:hideMark/>
          </w:tcPr>
          <w:p w:rsidR="00074809" w:rsidRPr="00E6522E" w:rsidRDefault="00EC445A" w:rsidP="00074809">
            <w:pPr>
              <w:spacing w:after="0" w:line="240" w:lineRule="auto"/>
              <w:rPr>
                <w:rFonts w:eastAsia="Times New Roman" w:cstheme="minorHAnsi"/>
                <w:b/>
                <w:bCs/>
                <w:sz w:val="16"/>
                <w:szCs w:val="14"/>
              </w:rPr>
            </w:pPr>
            <w:r w:rsidRPr="00E6522E">
              <w:rPr>
                <w:rFonts w:eastAsia="Times New Roman" w:cstheme="minorHAnsi"/>
                <w:b/>
                <w:bCs/>
                <w:sz w:val="16"/>
                <w:szCs w:val="14"/>
              </w:rPr>
              <w:t>Total balance</w:t>
            </w:r>
          </w:p>
        </w:tc>
        <w:tc>
          <w:tcPr>
            <w:tcW w:w="3988" w:type="pct"/>
            <w:gridSpan w:val="10"/>
            <w:tcBorders>
              <w:top w:val="single" w:sz="4" w:space="0" w:color="auto"/>
              <w:left w:val="nil"/>
              <w:bottom w:val="single" w:sz="4" w:space="0" w:color="auto"/>
              <w:right w:val="single" w:sz="4" w:space="0" w:color="000000"/>
            </w:tcBorders>
            <w:shd w:val="clear" w:color="auto" w:fill="auto"/>
            <w:noWrap/>
            <w:vAlign w:val="bottom"/>
            <w:hideMark/>
          </w:tcPr>
          <w:p w:rsidR="00074809" w:rsidRPr="00E6522E" w:rsidRDefault="00074809" w:rsidP="00074809">
            <w:pPr>
              <w:spacing w:after="0" w:line="240" w:lineRule="auto"/>
              <w:jc w:val="center"/>
              <w:rPr>
                <w:rFonts w:eastAsia="Times New Roman" w:cstheme="minorHAnsi"/>
                <w:sz w:val="16"/>
                <w:szCs w:val="14"/>
              </w:rPr>
            </w:pPr>
            <w:r w:rsidRPr="00E6522E">
              <w:rPr>
                <w:rFonts w:eastAsia="Times New Roman" w:cstheme="minorHAnsi"/>
                <w:sz w:val="16"/>
                <w:szCs w:val="14"/>
              </w:rPr>
              <w:t> </w:t>
            </w:r>
          </w:p>
        </w:tc>
      </w:tr>
      <w:tr w:rsidR="00DB05A5" w:rsidRPr="00E6522E" w:rsidTr="00DB05A5">
        <w:trPr>
          <w:trHeight w:val="113"/>
          <w:jc w:val="center"/>
        </w:trPr>
        <w:tc>
          <w:tcPr>
            <w:tcW w:w="1012" w:type="pct"/>
            <w:tcBorders>
              <w:top w:val="nil"/>
              <w:left w:val="single" w:sz="4" w:space="0" w:color="auto"/>
              <w:bottom w:val="single" w:sz="4" w:space="0" w:color="auto"/>
              <w:right w:val="single" w:sz="4" w:space="0" w:color="auto"/>
            </w:tcBorders>
            <w:shd w:val="clear" w:color="auto" w:fill="auto"/>
            <w:vAlign w:val="bottom"/>
            <w:hideMark/>
          </w:tcPr>
          <w:p w:rsidR="00DB05A5" w:rsidRPr="00E6522E" w:rsidRDefault="00DB05A5" w:rsidP="00DB05A5">
            <w:pPr>
              <w:spacing w:after="0" w:line="240" w:lineRule="auto"/>
              <w:rPr>
                <w:rFonts w:eastAsia="Times New Roman" w:cstheme="minorHAnsi"/>
                <w:sz w:val="18"/>
                <w:szCs w:val="20"/>
              </w:rPr>
            </w:pPr>
            <w:r w:rsidRPr="00E6522E">
              <w:rPr>
                <w:rFonts w:eastAsia="Times New Roman" w:cstheme="minorHAnsi"/>
                <w:sz w:val="18"/>
                <w:szCs w:val="20"/>
              </w:rPr>
              <w:t xml:space="preserve">2019-2022 </w:t>
            </w:r>
            <w:r w:rsidR="00A21683" w:rsidRPr="00E6522E">
              <w:rPr>
                <w:rFonts w:eastAsia="Times New Roman" w:cstheme="minorHAnsi"/>
                <w:sz w:val="18"/>
                <w:szCs w:val="20"/>
              </w:rPr>
              <w:t>Forecast</w:t>
            </w:r>
          </w:p>
        </w:tc>
        <w:tc>
          <w:tcPr>
            <w:tcW w:w="37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-2,2%</w:t>
            </w:r>
          </w:p>
        </w:tc>
        <w:tc>
          <w:tcPr>
            <w:tcW w:w="37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-2,1%</w:t>
            </w:r>
          </w:p>
        </w:tc>
        <w:tc>
          <w:tcPr>
            <w:tcW w:w="373"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-1,9%</w:t>
            </w:r>
          </w:p>
        </w:tc>
        <w:tc>
          <w:tcPr>
            <w:tcW w:w="374"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-2,0%</w:t>
            </w:r>
          </w:p>
        </w:tc>
        <w:tc>
          <w:tcPr>
            <w:tcW w:w="375" w:type="pct"/>
            <w:tcBorders>
              <w:top w:val="nil"/>
              <w:left w:val="nil"/>
              <w:bottom w:val="single" w:sz="4" w:space="0" w:color="auto"/>
              <w:right w:val="single" w:sz="4" w:space="0" w:color="auto"/>
            </w:tcBorders>
            <w:shd w:val="clear" w:color="000000" w:fill="FDE9D9"/>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 </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-2,4%</w:t>
            </w:r>
          </w:p>
        </w:tc>
        <w:tc>
          <w:tcPr>
            <w:tcW w:w="55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-2,3%</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-2,2%</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-2,2%</w:t>
            </w:r>
          </w:p>
        </w:tc>
        <w:tc>
          <w:tcPr>
            <w:tcW w:w="394" w:type="pct"/>
            <w:tcBorders>
              <w:top w:val="nil"/>
              <w:left w:val="nil"/>
              <w:bottom w:val="single" w:sz="4" w:space="0" w:color="auto"/>
              <w:right w:val="single" w:sz="4" w:space="0" w:color="auto"/>
            </w:tcBorders>
            <w:shd w:val="clear" w:color="000000" w:fill="FDE9D9"/>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 </w:t>
            </w:r>
          </w:p>
        </w:tc>
      </w:tr>
      <w:tr w:rsidR="00DB05A5" w:rsidRPr="00E6522E" w:rsidTr="00DB05A5">
        <w:trPr>
          <w:trHeight w:val="113"/>
          <w:jc w:val="center"/>
        </w:trPr>
        <w:tc>
          <w:tcPr>
            <w:tcW w:w="1012" w:type="pct"/>
            <w:tcBorders>
              <w:top w:val="nil"/>
              <w:left w:val="single" w:sz="4" w:space="0" w:color="auto"/>
              <w:bottom w:val="single" w:sz="4" w:space="0" w:color="auto"/>
              <w:right w:val="single" w:sz="4" w:space="0" w:color="auto"/>
            </w:tcBorders>
            <w:shd w:val="clear" w:color="auto" w:fill="auto"/>
            <w:vAlign w:val="bottom"/>
            <w:hideMark/>
          </w:tcPr>
          <w:p w:rsidR="00DB05A5" w:rsidRPr="00E6522E" w:rsidRDefault="00DB05A5" w:rsidP="00DB05A5">
            <w:pPr>
              <w:spacing w:after="0" w:line="240" w:lineRule="auto"/>
              <w:rPr>
                <w:rFonts w:eastAsia="Times New Roman" w:cstheme="minorHAnsi"/>
                <w:sz w:val="18"/>
                <w:szCs w:val="20"/>
              </w:rPr>
            </w:pPr>
            <w:r w:rsidRPr="00E6522E">
              <w:rPr>
                <w:rFonts w:eastAsia="Times New Roman" w:cstheme="minorHAnsi"/>
                <w:sz w:val="18"/>
                <w:szCs w:val="20"/>
              </w:rPr>
              <w:t xml:space="preserve">2020-2023 </w:t>
            </w:r>
            <w:r w:rsidR="00A21683" w:rsidRPr="00E6522E">
              <w:rPr>
                <w:rFonts w:eastAsia="Times New Roman" w:cstheme="minorHAnsi"/>
                <w:sz w:val="18"/>
                <w:szCs w:val="20"/>
              </w:rPr>
              <w:t>Forecast</w:t>
            </w:r>
          </w:p>
        </w:tc>
        <w:tc>
          <w:tcPr>
            <w:tcW w:w="37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-2,1%</w:t>
            </w:r>
          </w:p>
        </w:tc>
        <w:tc>
          <w:tcPr>
            <w:tcW w:w="37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-2,4%</w:t>
            </w:r>
          </w:p>
        </w:tc>
        <w:tc>
          <w:tcPr>
            <w:tcW w:w="373"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-2,2%</w:t>
            </w:r>
          </w:p>
        </w:tc>
        <w:tc>
          <w:tcPr>
            <w:tcW w:w="374"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-2,3%</w:t>
            </w:r>
          </w:p>
        </w:tc>
        <w:tc>
          <w:tcPr>
            <w:tcW w:w="375" w:type="pct"/>
            <w:tcBorders>
              <w:top w:val="nil"/>
              <w:left w:val="nil"/>
              <w:bottom w:val="single" w:sz="4" w:space="0" w:color="auto"/>
              <w:right w:val="single" w:sz="4" w:space="0" w:color="auto"/>
            </w:tcBorders>
            <w:shd w:val="clear" w:color="000000" w:fill="FDE9D9"/>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-2,2%</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-2,3%</w:t>
            </w:r>
          </w:p>
        </w:tc>
        <w:tc>
          <w:tcPr>
            <w:tcW w:w="55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-2,5%</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-2,3%</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-2,4%</w:t>
            </w:r>
          </w:p>
        </w:tc>
        <w:tc>
          <w:tcPr>
            <w:tcW w:w="394" w:type="pct"/>
            <w:tcBorders>
              <w:top w:val="nil"/>
              <w:left w:val="nil"/>
              <w:bottom w:val="single" w:sz="4" w:space="0" w:color="auto"/>
              <w:right w:val="single" w:sz="4" w:space="0" w:color="auto"/>
            </w:tcBorders>
            <w:shd w:val="clear" w:color="000000" w:fill="FDE9D9"/>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-2,3%</w:t>
            </w:r>
          </w:p>
        </w:tc>
      </w:tr>
      <w:tr w:rsidR="00074809" w:rsidRPr="00E6522E" w:rsidTr="00CF227E">
        <w:trPr>
          <w:trHeight w:val="113"/>
          <w:jc w:val="center"/>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74809" w:rsidRPr="00E6522E" w:rsidRDefault="00074809" w:rsidP="00074809">
            <w:pPr>
              <w:spacing w:after="0" w:line="240" w:lineRule="auto"/>
              <w:jc w:val="center"/>
              <w:rPr>
                <w:rFonts w:eastAsia="Times New Roman" w:cstheme="minorHAnsi"/>
                <w:sz w:val="16"/>
                <w:szCs w:val="14"/>
              </w:rPr>
            </w:pPr>
            <w:r w:rsidRPr="00E6522E">
              <w:rPr>
                <w:rFonts w:eastAsia="Times New Roman" w:cstheme="minorHAnsi"/>
                <w:sz w:val="16"/>
                <w:szCs w:val="14"/>
              </w:rPr>
              <w:t> </w:t>
            </w:r>
          </w:p>
        </w:tc>
      </w:tr>
      <w:tr w:rsidR="00074809" w:rsidRPr="00E6522E" w:rsidTr="00DB05A5">
        <w:trPr>
          <w:trHeight w:val="113"/>
          <w:jc w:val="center"/>
        </w:trPr>
        <w:tc>
          <w:tcPr>
            <w:tcW w:w="1012" w:type="pct"/>
            <w:tcBorders>
              <w:top w:val="nil"/>
              <w:left w:val="single" w:sz="4" w:space="0" w:color="auto"/>
              <w:bottom w:val="single" w:sz="4" w:space="0" w:color="auto"/>
              <w:right w:val="single" w:sz="4" w:space="0" w:color="auto"/>
            </w:tcBorders>
            <w:shd w:val="clear" w:color="auto" w:fill="auto"/>
            <w:vAlign w:val="bottom"/>
            <w:hideMark/>
          </w:tcPr>
          <w:p w:rsidR="00074809" w:rsidRPr="00E6522E" w:rsidRDefault="004F6F62" w:rsidP="00074809">
            <w:pPr>
              <w:spacing w:after="0" w:line="240" w:lineRule="auto"/>
              <w:rPr>
                <w:rFonts w:eastAsia="Times New Roman" w:cstheme="minorHAnsi"/>
                <w:b/>
                <w:bCs/>
                <w:sz w:val="16"/>
                <w:szCs w:val="14"/>
              </w:rPr>
            </w:pPr>
            <w:r w:rsidRPr="00E6522E">
              <w:rPr>
                <w:rFonts w:eastAsia="Times New Roman" w:cstheme="minorHAnsi"/>
                <w:b/>
                <w:bCs/>
                <w:sz w:val="16"/>
                <w:szCs w:val="14"/>
              </w:rPr>
              <w:t>Modified deficit (IMF program)</w:t>
            </w:r>
          </w:p>
        </w:tc>
        <w:tc>
          <w:tcPr>
            <w:tcW w:w="3988" w:type="pct"/>
            <w:gridSpan w:val="10"/>
            <w:tcBorders>
              <w:top w:val="single" w:sz="4" w:space="0" w:color="auto"/>
              <w:left w:val="nil"/>
              <w:bottom w:val="single" w:sz="4" w:space="0" w:color="auto"/>
              <w:right w:val="single" w:sz="4" w:space="0" w:color="000000"/>
            </w:tcBorders>
            <w:shd w:val="clear" w:color="auto" w:fill="auto"/>
            <w:noWrap/>
            <w:vAlign w:val="bottom"/>
            <w:hideMark/>
          </w:tcPr>
          <w:p w:rsidR="00074809" w:rsidRPr="00E6522E" w:rsidRDefault="00074809" w:rsidP="00074809">
            <w:pPr>
              <w:spacing w:after="0" w:line="240" w:lineRule="auto"/>
              <w:jc w:val="center"/>
              <w:rPr>
                <w:rFonts w:eastAsia="Times New Roman" w:cstheme="minorHAnsi"/>
                <w:sz w:val="16"/>
                <w:szCs w:val="14"/>
              </w:rPr>
            </w:pPr>
            <w:r w:rsidRPr="00E6522E">
              <w:rPr>
                <w:rFonts w:eastAsia="Times New Roman" w:cstheme="minorHAnsi"/>
                <w:sz w:val="16"/>
                <w:szCs w:val="14"/>
              </w:rPr>
              <w:t> </w:t>
            </w:r>
          </w:p>
        </w:tc>
      </w:tr>
      <w:tr w:rsidR="00DB05A5" w:rsidRPr="00E6522E" w:rsidTr="00DB05A5">
        <w:trPr>
          <w:trHeight w:val="113"/>
          <w:jc w:val="center"/>
        </w:trPr>
        <w:tc>
          <w:tcPr>
            <w:tcW w:w="1012" w:type="pct"/>
            <w:tcBorders>
              <w:top w:val="nil"/>
              <w:left w:val="single" w:sz="4" w:space="0" w:color="auto"/>
              <w:bottom w:val="single" w:sz="4" w:space="0" w:color="auto"/>
              <w:right w:val="single" w:sz="4" w:space="0" w:color="auto"/>
            </w:tcBorders>
            <w:shd w:val="clear" w:color="auto" w:fill="auto"/>
            <w:vAlign w:val="bottom"/>
            <w:hideMark/>
          </w:tcPr>
          <w:p w:rsidR="00DB05A5" w:rsidRPr="00E6522E" w:rsidRDefault="00DB05A5" w:rsidP="00DB05A5">
            <w:pPr>
              <w:spacing w:after="0" w:line="240" w:lineRule="auto"/>
              <w:rPr>
                <w:rFonts w:eastAsia="Times New Roman" w:cstheme="minorHAnsi"/>
                <w:sz w:val="18"/>
                <w:szCs w:val="20"/>
              </w:rPr>
            </w:pPr>
            <w:r w:rsidRPr="00E6522E">
              <w:rPr>
                <w:rFonts w:eastAsia="Times New Roman" w:cstheme="minorHAnsi"/>
                <w:sz w:val="18"/>
                <w:szCs w:val="20"/>
              </w:rPr>
              <w:t xml:space="preserve">2019-2022 </w:t>
            </w:r>
            <w:r w:rsidR="00A21683" w:rsidRPr="00E6522E">
              <w:rPr>
                <w:rFonts w:eastAsia="Times New Roman" w:cstheme="minorHAnsi"/>
                <w:sz w:val="18"/>
                <w:szCs w:val="20"/>
              </w:rPr>
              <w:t>Forecast</w:t>
            </w:r>
          </w:p>
        </w:tc>
        <w:tc>
          <w:tcPr>
            <w:tcW w:w="37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-2,6%</w:t>
            </w:r>
          </w:p>
        </w:tc>
        <w:tc>
          <w:tcPr>
            <w:tcW w:w="37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-2,5%</w:t>
            </w:r>
          </w:p>
        </w:tc>
        <w:tc>
          <w:tcPr>
            <w:tcW w:w="373"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-2,5%</w:t>
            </w:r>
          </w:p>
        </w:tc>
        <w:tc>
          <w:tcPr>
            <w:tcW w:w="374"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-2,5%</w:t>
            </w:r>
          </w:p>
        </w:tc>
        <w:tc>
          <w:tcPr>
            <w:tcW w:w="375" w:type="pct"/>
            <w:tcBorders>
              <w:top w:val="nil"/>
              <w:left w:val="nil"/>
              <w:bottom w:val="single" w:sz="4" w:space="0" w:color="auto"/>
              <w:right w:val="single" w:sz="4" w:space="0" w:color="auto"/>
            </w:tcBorders>
            <w:shd w:val="clear" w:color="000000" w:fill="FDE9D9"/>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 </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-2,9%</w:t>
            </w:r>
          </w:p>
        </w:tc>
        <w:tc>
          <w:tcPr>
            <w:tcW w:w="55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-2,8%</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-2,8%</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-2,7%</w:t>
            </w:r>
          </w:p>
        </w:tc>
        <w:tc>
          <w:tcPr>
            <w:tcW w:w="394" w:type="pct"/>
            <w:tcBorders>
              <w:top w:val="nil"/>
              <w:left w:val="nil"/>
              <w:bottom w:val="single" w:sz="4" w:space="0" w:color="auto"/>
              <w:right w:val="single" w:sz="4" w:space="0" w:color="auto"/>
            </w:tcBorders>
            <w:shd w:val="clear" w:color="000000" w:fill="FDE9D9"/>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 </w:t>
            </w:r>
          </w:p>
        </w:tc>
      </w:tr>
      <w:tr w:rsidR="00DB05A5" w:rsidRPr="00E6522E" w:rsidTr="00DB05A5">
        <w:trPr>
          <w:trHeight w:val="113"/>
          <w:jc w:val="center"/>
        </w:trPr>
        <w:tc>
          <w:tcPr>
            <w:tcW w:w="1012" w:type="pct"/>
            <w:tcBorders>
              <w:top w:val="nil"/>
              <w:left w:val="single" w:sz="4" w:space="0" w:color="auto"/>
              <w:bottom w:val="single" w:sz="4" w:space="0" w:color="auto"/>
              <w:right w:val="single" w:sz="4" w:space="0" w:color="auto"/>
            </w:tcBorders>
            <w:shd w:val="clear" w:color="auto" w:fill="auto"/>
            <w:vAlign w:val="bottom"/>
            <w:hideMark/>
          </w:tcPr>
          <w:p w:rsidR="00DB05A5" w:rsidRPr="00E6522E" w:rsidRDefault="00DB05A5" w:rsidP="00DB05A5">
            <w:pPr>
              <w:spacing w:after="0" w:line="240" w:lineRule="auto"/>
              <w:rPr>
                <w:rFonts w:eastAsia="Times New Roman" w:cstheme="minorHAnsi"/>
                <w:sz w:val="18"/>
                <w:szCs w:val="20"/>
              </w:rPr>
            </w:pPr>
            <w:r w:rsidRPr="00E6522E">
              <w:rPr>
                <w:rFonts w:eastAsia="Times New Roman" w:cstheme="minorHAnsi"/>
                <w:sz w:val="18"/>
                <w:szCs w:val="20"/>
              </w:rPr>
              <w:t xml:space="preserve">2020-2023 </w:t>
            </w:r>
            <w:r w:rsidR="00A21683" w:rsidRPr="00E6522E">
              <w:rPr>
                <w:rFonts w:eastAsia="Times New Roman" w:cstheme="minorHAnsi"/>
                <w:sz w:val="18"/>
                <w:szCs w:val="20"/>
              </w:rPr>
              <w:t>Forecast</w:t>
            </w:r>
          </w:p>
        </w:tc>
        <w:tc>
          <w:tcPr>
            <w:tcW w:w="37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-2,4%</w:t>
            </w:r>
          </w:p>
        </w:tc>
        <w:tc>
          <w:tcPr>
            <w:tcW w:w="37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-2,5%</w:t>
            </w:r>
          </w:p>
        </w:tc>
        <w:tc>
          <w:tcPr>
            <w:tcW w:w="373"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-2,6%</w:t>
            </w:r>
          </w:p>
        </w:tc>
        <w:tc>
          <w:tcPr>
            <w:tcW w:w="374"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-2,7%</w:t>
            </w:r>
          </w:p>
        </w:tc>
        <w:tc>
          <w:tcPr>
            <w:tcW w:w="375" w:type="pct"/>
            <w:tcBorders>
              <w:top w:val="nil"/>
              <w:left w:val="nil"/>
              <w:bottom w:val="single" w:sz="4" w:space="0" w:color="auto"/>
              <w:right w:val="single" w:sz="4" w:space="0" w:color="auto"/>
            </w:tcBorders>
            <w:shd w:val="clear" w:color="000000" w:fill="FDE9D9"/>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-2,6%</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-2,6%</w:t>
            </w:r>
          </w:p>
        </w:tc>
        <w:tc>
          <w:tcPr>
            <w:tcW w:w="55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-2,6%</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-2,8%</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-2,8%</w:t>
            </w:r>
          </w:p>
        </w:tc>
        <w:tc>
          <w:tcPr>
            <w:tcW w:w="394" w:type="pct"/>
            <w:tcBorders>
              <w:top w:val="nil"/>
              <w:left w:val="nil"/>
              <w:bottom w:val="single" w:sz="4" w:space="0" w:color="auto"/>
              <w:right w:val="single" w:sz="4" w:space="0" w:color="auto"/>
            </w:tcBorders>
            <w:shd w:val="clear" w:color="000000" w:fill="FDE9D9"/>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-2,7%</w:t>
            </w:r>
          </w:p>
        </w:tc>
      </w:tr>
    </w:tbl>
    <w:p w:rsidR="00782ECE" w:rsidRPr="00E6522E" w:rsidRDefault="00782ECE" w:rsidP="006A22AE">
      <w:pPr>
        <w:jc w:val="both"/>
        <w:rPr>
          <w:rFonts w:cstheme="minorHAnsi"/>
          <w:lang w:val="ka-GE"/>
        </w:rPr>
      </w:pPr>
    </w:p>
    <w:p w:rsidR="00B00A69" w:rsidRPr="00E6522E" w:rsidRDefault="00B00A69" w:rsidP="006A22AE">
      <w:pPr>
        <w:jc w:val="both"/>
        <w:rPr>
          <w:rFonts w:cstheme="minorHAnsi"/>
        </w:rPr>
      </w:pPr>
      <w:r w:rsidRPr="00E6522E">
        <w:rPr>
          <w:rFonts w:cstheme="minorHAnsi"/>
          <w:lang w:val="ka-GE"/>
        </w:rPr>
        <w:t xml:space="preserve">Both the consolidated budget and the </w:t>
      </w:r>
      <w:r w:rsidR="00921598" w:rsidRPr="00E6522E">
        <w:rPr>
          <w:rFonts w:cstheme="minorHAnsi"/>
        </w:rPr>
        <w:t>general government budget</w:t>
      </w:r>
      <w:r w:rsidRPr="00E6522E">
        <w:rPr>
          <w:rFonts w:cstheme="minorHAnsi"/>
        </w:rPr>
        <w:t xml:space="preserve"> </w:t>
      </w:r>
      <w:r w:rsidRPr="00E6522E">
        <w:rPr>
          <w:rFonts w:cstheme="minorHAnsi"/>
          <w:lang w:val="ka-GE"/>
        </w:rPr>
        <w:t>deficit are kept below 3%</w:t>
      </w:r>
      <w:r w:rsidRPr="00E6522E">
        <w:rPr>
          <w:rFonts w:cstheme="minorHAnsi"/>
        </w:rPr>
        <w:t xml:space="preserve"> and accordingly, it fully meets the parameters of the Organic Law of Georgia on Economic Freedom. Deficit growth in nominal terms is due to projections in 2019-2022, with reforms planned in education and social protection and by maintaining high capital costs.</w:t>
      </w:r>
      <w:r w:rsidR="000B4089" w:rsidRPr="00E6522E">
        <w:rPr>
          <w:rFonts w:cstheme="minorHAnsi"/>
        </w:rPr>
        <w:t xml:space="preserve"> The deficit with respect to GDP is reduced compared t</w:t>
      </w:r>
      <w:r w:rsidR="00937667" w:rsidRPr="00E6522E">
        <w:rPr>
          <w:rFonts w:cstheme="minorHAnsi"/>
        </w:rPr>
        <w:t xml:space="preserve">o the previous fiscal framework. This </w:t>
      </w:r>
      <w:r w:rsidR="00921598" w:rsidRPr="00E6522E">
        <w:rPr>
          <w:rFonts w:cstheme="minorHAnsi"/>
        </w:rPr>
        <w:t>was influenced by</w:t>
      </w:r>
      <w:r w:rsidR="00937667" w:rsidRPr="00E6522E">
        <w:rPr>
          <w:rFonts w:cstheme="minorHAnsi"/>
        </w:rPr>
        <w:t xml:space="preserve"> the growth of the nominal GDP base, </w:t>
      </w:r>
      <w:r w:rsidR="00921598" w:rsidRPr="00E6522E">
        <w:rPr>
          <w:rFonts w:cstheme="minorHAnsi"/>
        </w:rPr>
        <w:t>because of</w:t>
      </w:r>
      <w:r w:rsidR="00937667" w:rsidRPr="00E6522E">
        <w:rPr>
          <w:rFonts w:cstheme="minorHAnsi"/>
        </w:rPr>
        <w:t xml:space="preserve"> the</w:t>
      </w:r>
      <w:r w:rsidR="004F6F62" w:rsidRPr="00E6522E">
        <w:rPr>
          <w:rFonts w:cstheme="minorHAnsi"/>
        </w:rPr>
        <w:t xml:space="preserve"> new</w:t>
      </w:r>
      <w:r w:rsidR="00937667" w:rsidRPr="00E6522E">
        <w:rPr>
          <w:rFonts w:cstheme="minorHAnsi"/>
        </w:rPr>
        <w:t xml:space="preserve"> methodology. However, even without the change</w:t>
      </w:r>
      <w:r w:rsidR="004F6F62" w:rsidRPr="00E6522E">
        <w:rPr>
          <w:rFonts w:cstheme="minorHAnsi"/>
        </w:rPr>
        <w:t>s</w:t>
      </w:r>
      <w:r w:rsidR="00937667" w:rsidRPr="00E6522E">
        <w:rPr>
          <w:rFonts w:cstheme="minorHAnsi"/>
        </w:rPr>
        <w:t xml:space="preserve"> of this methodology, the </w:t>
      </w:r>
      <w:r w:rsidR="00921598" w:rsidRPr="00E6522E">
        <w:rPr>
          <w:rFonts w:cstheme="minorHAnsi"/>
        </w:rPr>
        <w:t>general government</w:t>
      </w:r>
      <w:r w:rsidR="00937667" w:rsidRPr="00E6522E">
        <w:rPr>
          <w:rFonts w:cstheme="minorHAnsi"/>
        </w:rPr>
        <w:t xml:space="preserve"> budget deficit </w:t>
      </w:r>
      <w:r w:rsidR="00013972" w:rsidRPr="00E6522E">
        <w:rPr>
          <w:rFonts w:cstheme="minorHAnsi"/>
        </w:rPr>
        <w:t xml:space="preserve">were </w:t>
      </w:r>
      <w:r w:rsidR="00937667" w:rsidRPr="00E6522E">
        <w:rPr>
          <w:rFonts w:cstheme="minorHAnsi"/>
        </w:rPr>
        <w:t>projected to be below 3% (close to 2.5%).</w:t>
      </w:r>
    </w:p>
    <w:p w:rsidR="00FD1E28" w:rsidRPr="00E6522E" w:rsidRDefault="00E6522E" w:rsidP="006A22AE">
      <w:pPr>
        <w:jc w:val="both"/>
        <w:rPr>
          <w:rFonts w:cstheme="minorHAnsi"/>
        </w:rPr>
      </w:pPr>
      <w:r w:rsidRPr="00E6522E">
        <w:rPr>
          <w:rFonts w:cstheme="minorHAnsi"/>
        </w:rPr>
        <w:t>Current f</w:t>
      </w:r>
      <w:r w:rsidR="00FD1E28" w:rsidRPr="00E6522E">
        <w:rPr>
          <w:rFonts w:cstheme="minorHAnsi"/>
          <w:lang w:val="ka-GE"/>
        </w:rPr>
        <w:t>iscal policy</w:t>
      </w:r>
      <w:r w:rsidRPr="00E6522E">
        <w:rPr>
          <w:rFonts w:cstheme="minorHAnsi"/>
        </w:rPr>
        <w:t xml:space="preserve">, while incorporating the policy reforms on spending side and financing major infrastructure project, still retains low </w:t>
      </w:r>
      <w:r w:rsidR="00FD1E28" w:rsidRPr="00E6522E">
        <w:rPr>
          <w:rFonts w:cstheme="minorHAnsi"/>
          <w:lang w:val="ka-GE"/>
        </w:rPr>
        <w:t xml:space="preserve">by 2023, </w:t>
      </w:r>
      <w:r w:rsidRPr="00E6522E">
        <w:rPr>
          <w:rFonts w:cstheme="minorHAnsi"/>
        </w:rPr>
        <w:t>as set by the</w:t>
      </w:r>
      <w:r w:rsidR="00FD1E28" w:rsidRPr="00E6522E">
        <w:rPr>
          <w:rFonts w:cstheme="minorHAnsi"/>
          <w:lang w:val="ka-GE"/>
        </w:rPr>
        <w:t xml:space="preserve"> Organic Law of Georgia </w:t>
      </w:r>
      <w:r w:rsidR="00D768EE" w:rsidRPr="00E6522E">
        <w:rPr>
          <w:rFonts w:cstheme="minorHAnsi"/>
        </w:rPr>
        <w:t>“O</w:t>
      </w:r>
      <w:r w:rsidR="00FD1E28" w:rsidRPr="00E6522E">
        <w:rPr>
          <w:rFonts w:cstheme="minorHAnsi"/>
          <w:lang w:val="ka-GE"/>
        </w:rPr>
        <w:t>n Economic Freedom</w:t>
      </w:r>
      <w:r w:rsidR="00D768EE" w:rsidRPr="00E6522E">
        <w:rPr>
          <w:rFonts w:cstheme="minorHAnsi"/>
        </w:rPr>
        <w:t>”</w:t>
      </w:r>
      <w:r w:rsidRPr="00E6522E">
        <w:rPr>
          <w:rFonts w:cstheme="minorHAnsi"/>
          <w:lang w:val="ka-GE"/>
        </w:rPr>
        <w:t xml:space="preserve"> (3%). </w:t>
      </w:r>
    </w:p>
    <w:p w:rsidR="00DB05A5" w:rsidRDefault="00DB05A5">
      <w:pPr>
        <w:rPr>
          <w:rFonts w:cstheme="minorHAnsi"/>
        </w:rPr>
      </w:pPr>
    </w:p>
    <w:p w:rsidR="00E6522E" w:rsidRDefault="00E6522E">
      <w:pPr>
        <w:rPr>
          <w:rFonts w:cstheme="minorHAnsi"/>
        </w:rPr>
      </w:pPr>
    </w:p>
    <w:p w:rsidR="00E6522E" w:rsidRPr="00E6522E" w:rsidRDefault="00E6522E">
      <w:pPr>
        <w:rPr>
          <w:rFonts w:cstheme="minorHAnsi"/>
        </w:rPr>
      </w:pPr>
    </w:p>
    <w:p w:rsidR="00A21683" w:rsidRPr="00E6522E" w:rsidRDefault="00A21683" w:rsidP="00A21683">
      <w:pPr>
        <w:pStyle w:val="Heading1"/>
        <w:numPr>
          <w:ilvl w:val="0"/>
          <w:numId w:val="1"/>
        </w:numPr>
        <w:rPr>
          <w:rFonts w:asciiTheme="minorHAnsi" w:hAnsiTheme="minorHAnsi" w:cstheme="minorHAnsi"/>
          <w:b/>
          <w:sz w:val="28"/>
          <w:lang w:val="ka-GE"/>
        </w:rPr>
      </w:pPr>
      <w:r w:rsidRPr="00E6522E">
        <w:rPr>
          <w:rFonts w:asciiTheme="minorHAnsi" w:hAnsiTheme="minorHAnsi" w:cstheme="minorHAnsi"/>
          <w:b/>
          <w:sz w:val="28"/>
        </w:rPr>
        <w:t>Government Debt</w:t>
      </w:r>
    </w:p>
    <w:p w:rsidR="00A21683" w:rsidRPr="00E6522E" w:rsidRDefault="00A21683" w:rsidP="00A21683">
      <w:pPr>
        <w:pStyle w:val="NoSpacing"/>
        <w:ind w:firstLine="720"/>
        <w:jc w:val="both"/>
        <w:rPr>
          <w:rFonts w:cstheme="minorHAnsi"/>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1439"/>
        <w:gridCol w:w="1234"/>
        <w:gridCol w:w="1234"/>
        <w:gridCol w:w="1234"/>
        <w:gridCol w:w="1234"/>
      </w:tblGrid>
      <w:tr w:rsidR="00A21683" w:rsidRPr="00E6522E" w:rsidTr="00A21683">
        <w:trPr>
          <w:trHeight w:val="243"/>
        </w:trPr>
        <w:tc>
          <w:tcPr>
            <w:tcW w:w="1682" w:type="pct"/>
            <w:shd w:val="clear" w:color="auto" w:fill="auto"/>
            <w:noWrap/>
            <w:vAlign w:val="center"/>
            <w:hideMark/>
          </w:tcPr>
          <w:p w:rsidR="00A21683" w:rsidRPr="00E6522E" w:rsidRDefault="00A21683" w:rsidP="004061D7">
            <w:pPr>
              <w:spacing w:after="0" w:line="240" w:lineRule="auto"/>
              <w:jc w:val="center"/>
              <w:rPr>
                <w:rFonts w:eastAsia="Times New Roman" w:cstheme="minorHAnsi"/>
                <w:sz w:val="18"/>
                <w:szCs w:val="20"/>
              </w:rPr>
            </w:pPr>
            <w:r w:rsidRPr="00E6522E">
              <w:rPr>
                <w:rFonts w:eastAsia="Times New Roman" w:cstheme="minorHAnsi"/>
                <w:sz w:val="18"/>
                <w:szCs w:val="20"/>
              </w:rPr>
              <w:t>Government Debt</w:t>
            </w:r>
          </w:p>
        </w:tc>
        <w:tc>
          <w:tcPr>
            <w:tcW w:w="749" w:type="pct"/>
            <w:shd w:val="clear" w:color="auto" w:fill="auto"/>
            <w:noWrap/>
            <w:vAlign w:val="center"/>
            <w:hideMark/>
          </w:tcPr>
          <w:p w:rsidR="00A21683" w:rsidRPr="00E6522E" w:rsidRDefault="00A21683" w:rsidP="00A21683">
            <w:pPr>
              <w:spacing w:after="0" w:line="240" w:lineRule="auto"/>
              <w:jc w:val="center"/>
              <w:rPr>
                <w:rFonts w:eastAsia="Times New Roman" w:cstheme="minorHAnsi"/>
                <w:b/>
                <w:bCs/>
                <w:i/>
                <w:iCs/>
                <w:sz w:val="18"/>
                <w:szCs w:val="20"/>
              </w:rPr>
            </w:pPr>
            <w:r w:rsidRPr="00E6522E">
              <w:rPr>
                <w:rFonts w:eastAsia="Times New Roman" w:cstheme="minorHAnsi"/>
                <w:b/>
                <w:bCs/>
                <w:i/>
                <w:iCs/>
                <w:sz w:val="18"/>
                <w:szCs w:val="20"/>
              </w:rPr>
              <w:t>2019</w:t>
            </w:r>
          </w:p>
        </w:tc>
        <w:tc>
          <w:tcPr>
            <w:tcW w:w="642" w:type="pct"/>
            <w:shd w:val="clear" w:color="auto" w:fill="auto"/>
            <w:noWrap/>
            <w:vAlign w:val="center"/>
            <w:hideMark/>
          </w:tcPr>
          <w:p w:rsidR="00A21683" w:rsidRPr="00E6522E" w:rsidRDefault="00A21683" w:rsidP="00A21683">
            <w:pPr>
              <w:spacing w:after="0" w:line="240" w:lineRule="auto"/>
              <w:jc w:val="center"/>
              <w:rPr>
                <w:rFonts w:eastAsia="Times New Roman" w:cstheme="minorHAnsi"/>
                <w:b/>
                <w:bCs/>
                <w:i/>
                <w:iCs/>
                <w:sz w:val="18"/>
                <w:szCs w:val="20"/>
              </w:rPr>
            </w:pPr>
            <w:r w:rsidRPr="00E6522E">
              <w:rPr>
                <w:rFonts w:eastAsia="Times New Roman" w:cstheme="minorHAnsi"/>
                <w:b/>
                <w:bCs/>
                <w:i/>
                <w:iCs/>
                <w:sz w:val="18"/>
                <w:szCs w:val="20"/>
              </w:rPr>
              <w:t>2020</w:t>
            </w:r>
          </w:p>
        </w:tc>
        <w:tc>
          <w:tcPr>
            <w:tcW w:w="642" w:type="pct"/>
            <w:shd w:val="clear" w:color="auto" w:fill="auto"/>
            <w:noWrap/>
            <w:vAlign w:val="center"/>
            <w:hideMark/>
          </w:tcPr>
          <w:p w:rsidR="00A21683" w:rsidRPr="00E6522E" w:rsidRDefault="00A21683" w:rsidP="00A21683">
            <w:pPr>
              <w:spacing w:after="0" w:line="240" w:lineRule="auto"/>
              <w:jc w:val="center"/>
              <w:rPr>
                <w:rFonts w:eastAsia="Times New Roman" w:cstheme="minorHAnsi"/>
                <w:b/>
                <w:bCs/>
                <w:i/>
                <w:iCs/>
                <w:sz w:val="18"/>
                <w:szCs w:val="20"/>
              </w:rPr>
            </w:pPr>
            <w:r w:rsidRPr="00E6522E">
              <w:rPr>
                <w:rFonts w:eastAsia="Times New Roman" w:cstheme="minorHAnsi"/>
                <w:b/>
                <w:bCs/>
                <w:i/>
                <w:iCs/>
                <w:sz w:val="18"/>
                <w:szCs w:val="20"/>
              </w:rPr>
              <w:t>2021</w:t>
            </w:r>
          </w:p>
        </w:tc>
        <w:tc>
          <w:tcPr>
            <w:tcW w:w="642" w:type="pct"/>
            <w:shd w:val="clear" w:color="auto" w:fill="auto"/>
            <w:noWrap/>
            <w:vAlign w:val="center"/>
            <w:hideMark/>
          </w:tcPr>
          <w:p w:rsidR="00A21683" w:rsidRPr="00E6522E" w:rsidRDefault="00A21683" w:rsidP="00A21683">
            <w:pPr>
              <w:spacing w:after="0" w:line="240" w:lineRule="auto"/>
              <w:jc w:val="center"/>
              <w:rPr>
                <w:rFonts w:eastAsia="Times New Roman" w:cstheme="minorHAnsi"/>
                <w:b/>
                <w:bCs/>
                <w:i/>
                <w:iCs/>
                <w:sz w:val="18"/>
                <w:szCs w:val="20"/>
              </w:rPr>
            </w:pPr>
            <w:r w:rsidRPr="00E6522E">
              <w:rPr>
                <w:rFonts w:eastAsia="Times New Roman" w:cstheme="minorHAnsi"/>
                <w:b/>
                <w:bCs/>
                <w:i/>
                <w:iCs/>
                <w:sz w:val="18"/>
                <w:szCs w:val="20"/>
              </w:rPr>
              <w:t>2022</w:t>
            </w:r>
          </w:p>
        </w:tc>
        <w:tc>
          <w:tcPr>
            <w:tcW w:w="642" w:type="pct"/>
            <w:vAlign w:val="center"/>
          </w:tcPr>
          <w:p w:rsidR="00A21683" w:rsidRPr="00E6522E" w:rsidRDefault="00A21683" w:rsidP="00A21683">
            <w:pPr>
              <w:spacing w:after="0" w:line="240" w:lineRule="auto"/>
              <w:jc w:val="center"/>
              <w:rPr>
                <w:rFonts w:eastAsia="Times New Roman" w:cstheme="minorHAnsi"/>
                <w:b/>
                <w:bCs/>
                <w:i/>
                <w:iCs/>
                <w:sz w:val="18"/>
                <w:szCs w:val="20"/>
                <w:lang w:val="ka-GE"/>
              </w:rPr>
            </w:pPr>
            <w:r w:rsidRPr="00E6522E">
              <w:rPr>
                <w:rFonts w:eastAsia="Times New Roman" w:cstheme="minorHAnsi"/>
                <w:b/>
                <w:bCs/>
                <w:i/>
                <w:iCs/>
                <w:sz w:val="18"/>
                <w:szCs w:val="20"/>
                <w:lang w:val="ka-GE"/>
              </w:rPr>
              <w:t>2023</w:t>
            </w:r>
          </w:p>
        </w:tc>
      </w:tr>
      <w:tr w:rsidR="00A21683" w:rsidRPr="00E6522E" w:rsidTr="00A21683">
        <w:trPr>
          <w:trHeight w:val="243"/>
        </w:trPr>
        <w:tc>
          <w:tcPr>
            <w:tcW w:w="1682" w:type="pct"/>
            <w:shd w:val="clear" w:color="auto" w:fill="auto"/>
            <w:noWrap/>
            <w:vAlign w:val="center"/>
            <w:hideMark/>
          </w:tcPr>
          <w:p w:rsidR="00A21683" w:rsidRPr="00E6522E" w:rsidRDefault="00A21683" w:rsidP="004061D7">
            <w:pPr>
              <w:spacing w:after="0" w:line="240" w:lineRule="auto"/>
              <w:ind w:firstLineChars="200" w:firstLine="360"/>
              <w:rPr>
                <w:rFonts w:eastAsia="Times New Roman" w:cstheme="minorHAnsi"/>
                <w:sz w:val="18"/>
                <w:szCs w:val="20"/>
              </w:rPr>
            </w:pPr>
            <w:r w:rsidRPr="00E6522E">
              <w:rPr>
                <w:rFonts w:eastAsia="Times New Roman" w:cstheme="minorHAnsi"/>
                <w:sz w:val="18"/>
                <w:szCs w:val="20"/>
                <w:lang w:val="ka-GE"/>
              </w:rPr>
              <w:t>2019-2022</w:t>
            </w:r>
            <w:r w:rsidRPr="00E6522E">
              <w:rPr>
                <w:rFonts w:eastAsia="Times New Roman" w:cstheme="minorHAnsi"/>
                <w:sz w:val="18"/>
                <w:szCs w:val="20"/>
              </w:rPr>
              <w:t xml:space="preserve"> (million GEL)</w:t>
            </w:r>
          </w:p>
        </w:tc>
        <w:tc>
          <w:tcPr>
            <w:tcW w:w="749" w:type="pct"/>
            <w:shd w:val="clear" w:color="auto" w:fill="auto"/>
            <w:noWrap/>
            <w:vAlign w:val="center"/>
            <w:hideMark/>
          </w:tcPr>
          <w:p w:rsidR="00A21683" w:rsidRPr="00E6522E" w:rsidRDefault="00A21683" w:rsidP="00A21683">
            <w:pPr>
              <w:spacing w:after="0"/>
              <w:jc w:val="center"/>
              <w:rPr>
                <w:rFonts w:cstheme="minorHAnsi"/>
                <w:sz w:val="18"/>
                <w:lang w:val="ka-GE"/>
              </w:rPr>
            </w:pPr>
            <w:r w:rsidRPr="00E6522E">
              <w:rPr>
                <w:rFonts w:cstheme="minorHAnsi"/>
                <w:sz w:val="18"/>
                <w:lang w:val="ka-GE"/>
              </w:rPr>
              <w:t>19,126</w:t>
            </w:r>
          </w:p>
        </w:tc>
        <w:tc>
          <w:tcPr>
            <w:tcW w:w="642" w:type="pct"/>
            <w:shd w:val="clear" w:color="auto" w:fill="auto"/>
            <w:noWrap/>
            <w:vAlign w:val="center"/>
            <w:hideMark/>
          </w:tcPr>
          <w:p w:rsidR="00A21683" w:rsidRPr="00E6522E" w:rsidRDefault="00A21683" w:rsidP="00A21683">
            <w:pPr>
              <w:spacing w:after="0"/>
              <w:jc w:val="center"/>
              <w:rPr>
                <w:rFonts w:cstheme="minorHAnsi"/>
                <w:sz w:val="18"/>
                <w:lang w:val="ka-GE"/>
              </w:rPr>
            </w:pPr>
            <w:r w:rsidRPr="00E6522E">
              <w:rPr>
                <w:rFonts w:cstheme="minorHAnsi"/>
                <w:sz w:val="18"/>
                <w:lang w:val="ka-GE"/>
              </w:rPr>
              <w:t>20,676</w:t>
            </w:r>
          </w:p>
        </w:tc>
        <w:tc>
          <w:tcPr>
            <w:tcW w:w="642" w:type="pct"/>
            <w:shd w:val="clear" w:color="auto" w:fill="auto"/>
            <w:noWrap/>
            <w:vAlign w:val="center"/>
            <w:hideMark/>
          </w:tcPr>
          <w:p w:rsidR="00A21683" w:rsidRPr="00E6522E" w:rsidRDefault="00A21683" w:rsidP="00A21683">
            <w:pPr>
              <w:spacing w:after="0"/>
              <w:jc w:val="center"/>
              <w:rPr>
                <w:rFonts w:cstheme="minorHAnsi"/>
                <w:sz w:val="18"/>
                <w:lang w:val="ka-GE"/>
              </w:rPr>
            </w:pPr>
            <w:r w:rsidRPr="00E6522E">
              <w:rPr>
                <w:rFonts w:cstheme="minorHAnsi"/>
                <w:sz w:val="18"/>
                <w:lang w:val="ka-GE"/>
              </w:rPr>
              <w:t>21,971</w:t>
            </w:r>
          </w:p>
        </w:tc>
        <w:tc>
          <w:tcPr>
            <w:tcW w:w="642" w:type="pct"/>
            <w:shd w:val="clear" w:color="auto" w:fill="auto"/>
            <w:noWrap/>
            <w:vAlign w:val="center"/>
            <w:hideMark/>
          </w:tcPr>
          <w:p w:rsidR="00A21683" w:rsidRPr="00E6522E" w:rsidRDefault="00A21683" w:rsidP="00A21683">
            <w:pPr>
              <w:spacing w:after="0"/>
              <w:jc w:val="center"/>
              <w:rPr>
                <w:rFonts w:cstheme="minorHAnsi"/>
                <w:sz w:val="18"/>
                <w:lang w:val="ka-GE"/>
              </w:rPr>
            </w:pPr>
            <w:r w:rsidRPr="00E6522E">
              <w:rPr>
                <w:rFonts w:cstheme="minorHAnsi"/>
                <w:sz w:val="18"/>
                <w:lang w:val="ka-GE"/>
              </w:rPr>
              <w:t>23,466</w:t>
            </w:r>
          </w:p>
        </w:tc>
        <w:tc>
          <w:tcPr>
            <w:tcW w:w="642" w:type="pct"/>
            <w:vAlign w:val="center"/>
          </w:tcPr>
          <w:p w:rsidR="00A21683" w:rsidRPr="00E6522E" w:rsidRDefault="00A21683" w:rsidP="00A21683">
            <w:pPr>
              <w:spacing w:after="0"/>
              <w:jc w:val="center"/>
              <w:rPr>
                <w:rFonts w:cstheme="minorHAnsi"/>
                <w:sz w:val="18"/>
                <w:lang w:val="ka-GE"/>
              </w:rPr>
            </w:pPr>
          </w:p>
        </w:tc>
      </w:tr>
      <w:tr w:rsidR="00A21683" w:rsidRPr="00E6522E" w:rsidTr="00A21683">
        <w:trPr>
          <w:trHeight w:val="332"/>
        </w:trPr>
        <w:tc>
          <w:tcPr>
            <w:tcW w:w="1682" w:type="pct"/>
            <w:shd w:val="clear" w:color="auto" w:fill="auto"/>
            <w:noWrap/>
            <w:vAlign w:val="center"/>
          </w:tcPr>
          <w:p w:rsidR="00A21683" w:rsidRPr="00E6522E" w:rsidRDefault="00A21683" w:rsidP="004061D7">
            <w:pPr>
              <w:spacing w:after="0" w:line="240" w:lineRule="auto"/>
              <w:ind w:firstLineChars="200" w:firstLine="360"/>
              <w:jc w:val="center"/>
              <w:rPr>
                <w:rFonts w:eastAsia="Times New Roman" w:cstheme="minorHAnsi"/>
                <w:sz w:val="18"/>
                <w:szCs w:val="20"/>
                <w:lang w:val="ka-GE"/>
              </w:rPr>
            </w:pPr>
            <w:r w:rsidRPr="00E6522E">
              <w:rPr>
                <w:rFonts w:eastAsia="Times New Roman" w:cstheme="minorHAnsi"/>
                <w:sz w:val="18"/>
                <w:szCs w:val="20"/>
              </w:rPr>
              <w:t>%</w:t>
            </w:r>
            <w:r w:rsidRPr="00E6522E">
              <w:rPr>
                <w:rFonts w:eastAsia="Times New Roman" w:cstheme="minorHAnsi"/>
                <w:sz w:val="18"/>
                <w:szCs w:val="20"/>
                <w:lang w:val="ka-GE"/>
              </w:rPr>
              <w:t xml:space="preserve"> o</w:t>
            </w:r>
            <w:r w:rsidRPr="00E6522E">
              <w:rPr>
                <w:rFonts w:eastAsia="Times New Roman" w:cstheme="minorHAnsi"/>
                <w:sz w:val="18"/>
                <w:szCs w:val="20"/>
              </w:rPr>
              <w:t>f</w:t>
            </w:r>
            <w:r w:rsidRPr="00E6522E">
              <w:rPr>
                <w:rFonts w:eastAsia="Times New Roman" w:cstheme="minorHAnsi"/>
                <w:sz w:val="18"/>
                <w:szCs w:val="20"/>
                <w:lang w:val="ka-GE"/>
              </w:rPr>
              <w:t xml:space="preserve"> GDP</w:t>
            </w:r>
          </w:p>
        </w:tc>
        <w:tc>
          <w:tcPr>
            <w:tcW w:w="749" w:type="pct"/>
            <w:shd w:val="clear" w:color="auto" w:fill="auto"/>
            <w:noWrap/>
            <w:vAlign w:val="center"/>
          </w:tcPr>
          <w:p w:rsidR="00A21683" w:rsidRPr="00E6522E" w:rsidRDefault="00A21683" w:rsidP="00A21683">
            <w:pPr>
              <w:spacing w:after="0"/>
              <w:jc w:val="center"/>
              <w:rPr>
                <w:rFonts w:cstheme="minorHAnsi"/>
                <w:sz w:val="18"/>
                <w:lang w:val="ka-GE"/>
              </w:rPr>
            </w:pPr>
            <w:r w:rsidRPr="00E6522E">
              <w:rPr>
                <w:rFonts w:cstheme="minorHAnsi"/>
                <w:sz w:val="18"/>
                <w:lang w:val="ka-GE"/>
              </w:rPr>
              <w:t>42.6</w:t>
            </w:r>
          </w:p>
        </w:tc>
        <w:tc>
          <w:tcPr>
            <w:tcW w:w="642" w:type="pct"/>
            <w:shd w:val="clear" w:color="auto" w:fill="auto"/>
            <w:noWrap/>
            <w:vAlign w:val="center"/>
          </w:tcPr>
          <w:p w:rsidR="00A21683" w:rsidRPr="00E6522E" w:rsidRDefault="00A21683" w:rsidP="00A21683">
            <w:pPr>
              <w:spacing w:after="0"/>
              <w:jc w:val="center"/>
              <w:rPr>
                <w:rFonts w:cstheme="minorHAnsi"/>
                <w:sz w:val="18"/>
                <w:lang w:val="ka-GE"/>
              </w:rPr>
            </w:pPr>
            <w:r w:rsidRPr="00E6522E">
              <w:rPr>
                <w:rFonts w:cstheme="minorHAnsi"/>
                <w:sz w:val="18"/>
                <w:lang w:val="ka-GE"/>
              </w:rPr>
              <w:t>42.6</w:t>
            </w:r>
          </w:p>
        </w:tc>
        <w:tc>
          <w:tcPr>
            <w:tcW w:w="642" w:type="pct"/>
            <w:shd w:val="clear" w:color="auto" w:fill="auto"/>
            <w:noWrap/>
            <w:vAlign w:val="center"/>
          </w:tcPr>
          <w:p w:rsidR="00A21683" w:rsidRPr="00E6522E" w:rsidRDefault="00A21683" w:rsidP="00A21683">
            <w:pPr>
              <w:spacing w:after="0"/>
              <w:jc w:val="center"/>
              <w:rPr>
                <w:rFonts w:cstheme="minorHAnsi"/>
                <w:sz w:val="18"/>
                <w:lang w:val="ka-GE"/>
              </w:rPr>
            </w:pPr>
            <w:r w:rsidRPr="00E6522E">
              <w:rPr>
                <w:rFonts w:cstheme="minorHAnsi"/>
                <w:sz w:val="18"/>
                <w:lang w:val="ka-GE"/>
              </w:rPr>
              <w:t>41.6</w:t>
            </w:r>
          </w:p>
        </w:tc>
        <w:tc>
          <w:tcPr>
            <w:tcW w:w="642" w:type="pct"/>
            <w:shd w:val="clear" w:color="auto" w:fill="auto"/>
            <w:noWrap/>
            <w:vAlign w:val="center"/>
          </w:tcPr>
          <w:p w:rsidR="00A21683" w:rsidRPr="00E6522E" w:rsidRDefault="00A21683" w:rsidP="00A21683">
            <w:pPr>
              <w:spacing w:after="0"/>
              <w:jc w:val="center"/>
              <w:rPr>
                <w:rFonts w:cstheme="minorHAnsi"/>
                <w:sz w:val="18"/>
                <w:lang w:val="ka-GE"/>
              </w:rPr>
            </w:pPr>
            <w:r w:rsidRPr="00E6522E">
              <w:rPr>
                <w:rFonts w:cstheme="minorHAnsi"/>
                <w:sz w:val="18"/>
                <w:lang w:val="ka-GE"/>
              </w:rPr>
              <w:t>40.7</w:t>
            </w:r>
          </w:p>
        </w:tc>
        <w:tc>
          <w:tcPr>
            <w:tcW w:w="642" w:type="pct"/>
            <w:vAlign w:val="center"/>
          </w:tcPr>
          <w:p w:rsidR="00A21683" w:rsidRPr="00E6522E" w:rsidRDefault="00A21683" w:rsidP="00A21683">
            <w:pPr>
              <w:spacing w:after="0"/>
              <w:rPr>
                <w:rFonts w:cstheme="minorHAnsi"/>
                <w:sz w:val="18"/>
                <w:lang w:val="ka-GE"/>
              </w:rPr>
            </w:pPr>
          </w:p>
        </w:tc>
      </w:tr>
      <w:tr w:rsidR="00A21683" w:rsidRPr="00E6522E" w:rsidTr="00A21683">
        <w:trPr>
          <w:trHeight w:val="243"/>
        </w:trPr>
        <w:tc>
          <w:tcPr>
            <w:tcW w:w="1682" w:type="pct"/>
            <w:shd w:val="clear" w:color="auto" w:fill="auto"/>
            <w:noWrap/>
            <w:vAlign w:val="center"/>
            <w:hideMark/>
          </w:tcPr>
          <w:p w:rsidR="00A21683" w:rsidRPr="00E6522E" w:rsidRDefault="00A21683" w:rsidP="004061D7">
            <w:pPr>
              <w:spacing w:after="0" w:line="240" w:lineRule="auto"/>
              <w:ind w:firstLineChars="200" w:firstLine="360"/>
              <w:rPr>
                <w:rFonts w:eastAsia="Times New Roman" w:cstheme="minorHAnsi"/>
                <w:sz w:val="18"/>
                <w:szCs w:val="20"/>
              </w:rPr>
            </w:pPr>
            <w:r w:rsidRPr="00E6522E">
              <w:rPr>
                <w:rFonts w:eastAsia="Times New Roman" w:cstheme="minorHAnsi"/>
                <w:sz w:val="18"/>
                <w:szCs w:val="20"/>
                <w:lang w:val="ka-GE"/>
              </w:rPr>
              <w:t>2020-2023</w:t>
            </w:r>
            <w:r w:rsidRPr="00E6522E">
              <w:rPr>
                <w:rFonts w:eastAsia="Times New Roman" w:cstheme="minorHAnsi"/>
                <w:sz w:val="18"/>
                <w:szCs w:val="20"/>
              </w:rPr>
              <w:t xml:space="preserve"> (million GEL)</w:t>
            </w:r>
          </w:p>
        </w:tc>
        <w:tc>
          <w:tcPr>
            <w:tcW w:w="749" w:type="pct"/>
            <w:shd w:val="clear" w:color="auto" w:fill="auto"/>
            <w:noWrap/>
            <w:vAlign w:val="center"/>
            <w:hideMark/>
          </w:tcPr>
          <w:p w:rsidR="00A21683" w:rsidRPr="00E6522E" w:rsidRDefault="00A21683" w:rsidP="00A21683">
            <w:pPr>
              <w:spacing w:after="0"/>
              <w:jc w:val="center"/>
              <w:rPr>
                <w:rFonts w:cstheme="minorHAnsi"/>
                <w:sz w:val="18"/>
                <w:lang w:val="ka-GE"/>
              </w:rPr>
            </w:pPr>
            <w:r w:rsidRPr="00E6522E">
              <w:rPr>
                <w:rFonts w:cstheme="minorHAnsi"/>
                <w:sz w:val="18"/>
                <w:lang w:val="ka-GE"/>
              </w:rPr>
              <w:t>20,050</w:t>
            </w:r>
          </w:p>
        </w:tc>
        <w:tc>
          <w:tcPr>
            <w:tcW w:w="642" w:type="pct"/>
            <w:shd w:val="clear" w:color="auto" w:fill="auto"/>
            <w:noWrap/>
            <w:vAlign w:val="center"/>
            <w:hideMark/>
          </w:tcPr>
          <w:p w:rsidR="00A21683" w:rsidRPr="00E6522E" w:rsidRDefault="00A21683" w:rsidP="00A21683">
            <w:pPr>
              <w:spacing w:after="0"/>
              <w:jc w:val="center"/>
              <w:rPr>
                <w:rFonts w:cstheme="minorHAnsi"/>
                <w:sz w:val="18"/>
                <w:lang w:val="ka-GE"/>
              </w:rPr>
            </w:pPr>
            <w:r w:rsidRPr="00E6522E">
              <w:rPr>
                <w:rFonts w:cstheme="minorHAnsi"/>
                <w:sz w:val="18"/>
                <w:lang w:val="ka-GE"/>
              </w:rPr>
              <w:t>22,579</w:t>
            </w:r>
          </w:p>
        </w:tc>
        <w:tc>
          <w:tcPr>
            <w:tcW w:w="642" w:type="pct"/>
            <w:shd w:val="clear" w:color="auto" w:fill="auto"/>
            <w:noWrap/>
            <w:vAlign w:val="center"/>
            <w:hideMark/>
          </w:tcPr>
          <w:p w:rsidR="00A21683" w:rsidRPr="00E6522E" w:rsidRDefault="00A21683" w:rsidP="00A21683">
            <w:pPr>
              <w:spacing w:after="0"/>
              <w:jc w:val="center"/>
              <w:rPr>
                <w:rFonts w:cstheme="minorHAnsi"/>
                <w:sz w:val="18"/>
                <w:lang w:val="ka-GE"/>
              </w:rPr>
            </w:pPr>
            <w:r w:rsidRPr="00E6522E">
              <w:rPr>
                <w:rFonts w:cstheme="minorHAnsi"/>
                <w:sz w:val="18"/>
                <w:lang w:val="ka-GE"/>
              </w:rPr>
              <w:t>24,274</w:t>
            </w:r>
          </w:p>
        </w:tc>
        <w:tc>
          <w:tcPr>
            <w:tcW w:w="642" w:type="pct"/>
            <w:shd w:val="clear" w:color="auto" w:fill="auto"/>
            <w:noWrap/>
            <w:vAlign w:val="center"/>
            <w:hideMark/>
          </w:tcPr>
          <w:p w:rsidR="00A21683" w:rsidRPr="00E6522E" w:rsidRDefault="00A21683" w:rsidP="00A21683">
            <w:pPr>
              <w:spacing w:after="0"/>
              <w:jc w:val="center"/>
              <w:rPr>
                <w:rFonts w:cstheme="minorHAnsi"/>
                <w:sz w:val="18"/>
                <w:lang w:val="ka-GE"/>
              </w:rPr>
            </w:pPr>
            <w:r w:rsidRPr="00E6522E">
              <w:rPr>
                <w:rFonts w:cstheme="minorHAnsi"/>
                <w:sz w:val="18"/>
                <w:lang w:val="ka-GE"/>
              </w:rPr>
              <w:t>26,225</w:t>
            </w:r>
          </w:p>
        </w:tc>
        <w:tc>
          <w:tcPr>
            <w:tcW w:w="642" w:type="pct"/>
            <w:vAlign w:val="center"/>
          </w:tcPr>
          <w:p w:rsidR="00A21683" w:rsidRPr="00E6522E" w:rsidRDefault="00A21683" w:rsidP="00A21683">
            <w:pPr>
              <w:spacing w:after="0"/>
              <w:jc w:val="center"/>
              <w:rPr>
                <w:rFonts w:cstheme="minorHAnsi"/>
                <w:sz w:val="18"/>
                <w:lang w:val="ka-GE"/>
              </w:rPr>
            </w:pPr>
            <w:r w:rsidRPr="00E6522E">
              <w:rPr>
                <w:rFonts w:cstheme="minorHAnsi"/>
                <w:sz w:val="18"/>
                <w:lang w:val="ka-GE"/>
              </w:rPr>
              <w:t>28,315</w:t>
            </w:r>
          </w:p>
        </w:tc>
      </w:tr>
      <w:tr w:rsidR="00A21683" w:rsidRPr="00E6522E" w:rsidTr="00A21683">
        <w:trPr>
          <w:trHeight w:val="243"/>
        </w:trPr>
        <w:tc>
          <w:tcPr>
            <w:tcW w:w="1682" w:type="pct"/>
            <w:shd w:val="clear" w:color="auto" w:fill="auto"/>
            <w:noWrap/>
            <w:vAlign w:val="center"/>
          </w:tcPr>
          <w:p w:rsidR="00A21683" w:rsidRPr="00E6522E" w:rsidRDefault="00A21683" w:rsidP="004061D7">
            <w:pPr>
              <w:spacing w:after="0" w:line="240" w:lineRule="auto"/>
              <w:ind w:firstLineChars="200" w:firstLine="360"/>
              <w:jc w:val="center"/>
              <w:rPr>
                <w:rFonts w:eastAsia="Times New Roman" w:cstheme="minorHAnsi"/>
                <w:sz w:val="18"/>
                <w:szCs w:val="20"/>
              </w:rPr>
            </w:pPr>
            <w:r w:rsidRPr="00E6522E">
              <w:rPr>
                <w:rFonts w:eastAsia="Times New Roman" w:cstheme="minorHAnsi"/>
                <w:sz w:val="18"/>
                <w:szCs w:val="20"/>
              </w:rPr>
              <w:t>%</w:t>
            </w:r>
            <w:r w:rsidRPr="00E6522E">
              <w:rPr>
                <w:rFonts w:eastAsia="Times New Roman" w:cstheme="minorHAnsi"/>
                <w:sz w:val="18"/>
                <w:szCs w:val="20"/>
                <w:lang w:val="ka-GE"/>
              </w:rPr>
              <w:t xml:space="preserve"> o</w:t>
            </w:r>
            <w:r w:rsidRPr="00E6522E">
              <w:rPr>
                <w:rFonts w:eastAsia="Times New Roman" w:cstheme="minorHAnsi"/>
                <w:sz w:val="18"/>
                <w:szCs w:val="20"/>
              </w:rPr>
              <w:t>f</w:t>
            </w:r>
            <w:r w:rsidRPr="00E6522E">
              <w:rPr>
                <w:rFonts w:eastAsia="Times New Roman" w:cstheme="minorHAnsi"/>
                <w:sz w:val="18"/>
                <w:szCs w:val="20"/>
                <w:lang w:val="ka-GE"/>
              </w:rPr>
              <w:t xml:space="preserve"> GDP</w:t>
            </w:r>
          </w:p>
        </w:tc>
        <w:tc>
          <w:tcPr>
            <w:tcW w:w="749" w:type="pct"/>
            <w:shd w:val="clear" w:color="auto" w:fill="auto"/>
            <w:noWrap/>
            <w:vAlign w:val="center"/>
          </w:tcPr>
          <w:p w:rsidR="00A21683" w:rsidRPr="00E6522E" w:rsidRDefault="00A21683" w:rsidP="00A21683">
            <w:pPr>
              <w:spacing w:after="0"/>
              <w:jc w:val="center"/>
              <w:rPr>
                <w:rFonts w:cstheme="minorHAnsi"/>
                <w:sz w:val="18"/>
                <w:lang w:val="ka-GE"/>
              </w:rPr>
            </w:pPr>
            <w:r w:rsidRPr="00E6522E">
              <w:rPr>
                <w:rFonts w:cstheme="minorHAnsi"/>
                <w:sz w:val="18"/>
                <w:lang w:val="ka-GE"/>
              </w:rPr>
              <w:t>40.9</w:t>
            </w:r>
          </w:p>
        </w:tc>
        <w:tc>
          <w:tcPr>
            <w:tcW w:w="642" w:type="pct"/>
            <w:shd w:val="clear" w:color="auto" w:fill="auto"/>
            <w:noWrap/>
            <w:vAlign w:val="center"/>
          </w:tcPr>
          <w:p w:rsidR="00A21683" w:rsidRPr="00E6522E" w:rsidRDefault="00A21683" w:rsidP="00A21683">
            <w:pPr>
              <w:spacing w:after="0"/>
              <w:jc w:val="center"/>
              <w:rPr>
                <w:rFonts w:cstheme="minorHAnsi"/>
                <w:sz w:val="18"/>
                <w:lang w:val="ka-GE"/>
              </w:rPr>
            </w:pPr>
            <w:r w:rsidRPr="00E6522E">
              <w:rPr>
                <w:rFonts w:cstheme="minorHAnsi"/>
                <w:sz w:val="18"/>
                <w:lang w:val="ka-GE"/>
              </w:rPr>
              <w:t>42.5</w:t>
            </w:r>
          </w:p>
        </w:tc>
        <w:tc>
          <w:tcPr>
            <w:tcW w:w="642" w:type="pct"/>
            <w:shd w:val="clear" w:color="auto" w:fill="auto"/>
            <w:noWrap/>
            <w:vAlign w:val="center"/>
          </w:tcPr>
          <w:p w:rsidR="00A21683" w:rsidRPr="00E6522E" w:rsidRDefault="00A21683" w:rsidP="00A21683">
            <w:pPr>
              <w:spacing w:after="0"/>
              <w:jc w:val="center"/>
              <w:rPr>
                <w:rFonts w:cstheme="minorHAnsi"/>
                <w:sz w:val="18"/>
                <w:lang w:val="ka-GE"/>
              </w:rPr>
            </w:pPr>
            <w:r w:rsidRPr="00E6522E">
              <w:rPr>
                <w:rFonts w:cstheme="minorHAnsi"/>
                <w:sz w:val="18"/>
                <w:lang w:val="ka-GE"/>
              </w:rPr>
              <w:t>42.3</w:t>
            </w:r>
          </w:p>
        </w:tc>
        <w:tc>
          <w:tcPr>
            <w:tcW w:w="642" w:type="pct"/>
            <w:shd w:val="clear" w:color="auto" w:fill="auto"/>
            <w:noWrap/>
            <w:vAlign w:val="center"/>
          </w:tcPr>
          <w:p w:rsidR="00A21683" w:rsidRPr="00E6522E" w:rsidRDefault="00A21683" w:rsidP="00A21683">
            <w:pPr>
              <w:spacing w:after="0"/>
              <w:jc w:val="center"/>
              <w:rPr>
                <w:rFonts w:cstheme="minorHAnsi"/>
                <w:sz w:val="18"/>
                <w:lang w:val="ka-GE"/>
              </w:rPr>
            </w:pPr>
            <w:r w:rsidRPr="00E6522E">
              <w:rPr>
                <w:rFonts w:cstheme="minorHAnsi"/>
                <w:sz w:val="18"/>
                <w:lang w:val="ka-GE"/>
              </w:rPr>
              <w:t>42.2</w:t>
            </w:r>
          </w:p>
        </w:tc>
        <w:tc>
          <w:tcPr>
            <w:tcW w:w="642" w:type="pct"/>
            <w:vAlign w:val="center"/>
          </w:tcPr>
          <w:p w:rsidR="00A21683" w:rsidRPr="00E6522E" w:rsidRDefault="00A21683" w:rsidP="00A21683">
            <w:pPr>
              <w:spacing w:after="0"/>
              <w:jc w:val="center"/>
              <w:rPr>
                <w:rFonts w:cstheme="minorHAnsi"/>
                <w:sz w:val="18"/>
                <w:lang w:val="ka-GE"/>
              </w:rPr>
            </w:pPr>
            <w:r w:rsidRPr="00E6522E">
              <w:rPr>
                <w:rFonts w:cstheme="minorHAnsi"/>
                <w:sz w:val="18"/>
                <w:lang w:val="ka-GE"/>
              </w:rPr>
              <w:t>42.0</w:t>
            </w:r>
          </w:p>
        </w:tc>
      </w:tr>
    </w:tbl>
    <w:p w:rsidR="00A21683" w:rsidRPr="00E6522E" w:rsidRDefault="00A21683" w:rsidP="00A21683">
      <w:pPr>
        <w:pStyle w:val="NoSpacing"/>
        <w:ind w:firstLine="720"/>
        <w:jc w:val="both"/>
        <w:rPr>
          <w:rFonts w:cstheme="minorHAnsi"/>
          <w:b/>
        </w:rPr>
      </w:pPr>
    </w:p>
    <w:p w:rsidR="00A21683" w:rsidRPr="00E6522E" w:rsidRDefault="00A21683" w:rsidP="00A21683">
      <w:pPr>
        <w:pStyle w:val="NoSpacing"/>
        <w:ind w:firstLine="720"/>
        <w:jc w:val="both"/>
        <w:rPr>
          <w:rFonts w:cstheme="minorHAnsi"/>
        </w:rPr>
      </w:pPr>
    </w:p>
    <w:p w:rsidR="00A21683" w:rsidRPr="00E6522E" w:rsidRDefault="00A21683" w:rsidP="00993A61">
      <w:pPr>
        <w:pStyle w:val="NoSpacing"/>
        <w:jc w:val="both"/>
        <w:rPr>
          <w:rFonts w:cstheme="minorHAnsi"/>
        </w:rPr>
      </w:pPr>
      <w:r w:rsidRPr="00E6522E">
        <w:rPr>
          <w:rFonts w:cstheme="minorHAnsi"/>
        </w:rPr>
        <w:t xml:space="preserve">Change in projected government debt indicators, which are defined by the Organic Law of Georgia on “Economic Freedom” compared to last year’s projected indicators are mainly caused by the GEL exchange rate fluctuations against foreign currencies in the government debt portfolio and by the expected credit disbursements of investment projects. Projections show that for 2023 government debt fully meets the requirement of </w:t>
      </w:r>
      <w:r w:rsidR="00E6522E" w:rsidRPr="00E6522E">
        <w:rPr>
          <w:rFonts w:cstheme="minorHAnsi"/>
        </w:rPr>
        <w:t xml:space="preserve">the </w:t>
      </w:r>
      <w:r w:rsidRPr="00E6522E">
        <w:rPr>
          <w:rFonts w:cstheme="minorHAnsi"/>
        </w:rPr>
        <w:t>o</w:t>
      </w:r>
      <w:r w:rsidR="00E6522E" w:rsidRPr="00E6522E">
        <w:rPr>
          <w:rFonts w:cstheme="minorHAnsi"/>
        </w:rPr>
        <w:t xml:space="preserve">rganic law (60%). The parameter is </w:t>
      </w:r>
      <w:r w:rsidRPr="00E6522E">
        <w:rPr>
          <w:rFonts w:cstheme="minorHAnsi"/>
        </w:rPr>
        <w:t xml:space="preserve">also, close to </w:t>
      </w:r>
      <w:r w:rsidR="00E6522E" w:rsidRPr="00E6522E">
        <w:rPr>
          <w:rFonts w:cstheme="minorHAnsi"/>
        </w:rPr>
        <w:t>s</w:t>
      </w:r>
      <w:r w:rsidRPr="00E6522E">
        <w:rPr>
          <w:rFonts w:cstheme="minorHAnsi"/>
        </w:rPr>
        <w:t>afe</w:t>
      </w:r>
      <w:r w:rsidR="00E6522E" w:rsidRPr="00E6522E">
        <w:rPr>
          <w:rFonts w:cstheme="minorHAnsi"/>
        </w:rPr>
        <w:t xml:space="preserve"> debt </w:t>
      </w:r>
      <w:r w:rsidRPr="00E6522E">
        <w:rPr>
          <w:rFonts w:cstheme="minorHAnsi"/>
        </w:rPr>
        <w:t>level</w:t>
      </w:r>
      <w:r w:rsidR="00E6522E" w:rsidRPr="00E6522E">
        <w:rPr>
          <w:rFonts w:cstheme="minorHAnsi"/>
        </w:rPr>
        <w:t xml:space="preserve"> of 40%</w:t>
      </w:r>
      <w:r w:rsidRPr="00E6522E">
        <w:rPr>
          <w:rFonts w:cstheme="minorHAnsi"/>
        </w:rPr>
        <w:t xml:space="preserve"> and it is expected that after medium term period (a</w:t>
      </w:r>
      <w:r w:rsidR="00E6522E" w:rsidRPr="00E6522E">
        <w:rPr>
          <w:rFonts w:cstheme="minorHAnsi"/>
        </w:rPr>
        <w:t>s</w:t>
      </w:r>
      <w:r w:rsidRPr="00E6522E">
        <w:rPr>
          <w:rFonts w:cstheme="minorHAnsi"/>
        </w:rPr>
        <w:t xml:space="preserve"> major investment projects</w:t>
      </w:r>
      <w:r w:rsidR="00E6522E" w:rsidRPr="00E6522E">
        <w:rPr>
          <w:rFonts w:cstheme="minorHAnsi"/>
        </w:rPr>
        <w:t xml:space="preserve"> are completed</w:t>
      </w:r>
      <w:r w:rsidRPr="00E6522E">
        <w:rPr>
          <w:rFonts w:cstheme="minorHAnsi"/>
        </w:rPr>
        <w:t xml:space="preserve">) government debt will fall below the 40% level. </w:t>
      </w:r>
    </w:p>
    <w:p w:rsidR="00A21683" w:rsidRPr="00E6522E" w:rsidRDefault="00A21683" w:rsidP="000F104E">
      <w:pPr>
        <w:pStyle w:val="NoSpacing"/>
        <w:ind w:firstLine="720"/>
        <w:jc w:val="both"/>
        <w:rPr>
          <w:rFonts w:cstheme="minorHAnsi"/>
          <w:b/>
        </w:rPr>
      </w:pPr>
    </w:p>
    <w:sectPr w:rsidR="00A21683" w:rsidRPr="00E6522E" w:rsidSect="00993A61">
      <w:footerReference w:type="default" r:id="rId8"/>
      <w:footerReference w:type="first" r:id="rId9"/>
      <w:pgSz w:w="12240" w:h="15840"/>
      <w:pgMar w:top="1260" w:right="1183"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7E9" w:rsidRDefault="001F27E9" w:rsidP="009F60D8">
      <w:pPr>
        <w:spacing w:after="0" w:line="240" w:lineRule="auto"/>
      </w:pPr>
      <w:r>
        <w:separator/>
      </w:r>
    </w:p>
  </w:endnote>
  <w:endnote w:type="continuationSeparator" w:id="0">
    <w:p w:rsidR="001F27E9" w:rsidRDefault="001F27E9" w:rsidP="009F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692647"/>
      <w:docPartObj>
        <w:docPartGallery w:val="Page Numbers (Bottom of Page)"/>
        <w:docPartUnique/>
      </w:docPartObj>
    </w:sdtPr>
    <w:sdtEndPr>
      <w:rPr>
        <w:noProof/>
      </w:rPr>
    </w:sdtEndPr>
    <w:sdtContent>
      <w:p w:rsidR="00095692" w:rsidRDefault="00095692">
        <w:pPr>
          <w:pStyle w:val="Footer"/>
          <w:jc w:val="right"/>
        </w:pPr>
        <w:r>
          <w:fldChar w:fldCharType="begin"/>
        </w:r>
        <w:r>
          <w:instrText xml:space="preserve"> PAGE   \* MERGEFORMAT </w:instrText>
        </w:r>
        <w:r>
          <w:fldChar w:fldCharType="separate"/>
        </w:r>
        <w:r w:rsidR="003E7529">
          <w:rPr>
            <w:noProof/>
          </w:rPr>
          <w:t>2</w:t>
        </w:r>
        <w:r>
          <w:rPr>
            <w:noProof/>
          </w:rPr>
          <w:fldChar w:fldCharType="end"/>
        </w:r>
      </w:p>
    </w:sdtContent>
  </w:sdt>
  <w:p w:rsidR="00095692" w:rsidRDefault="00095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814496"/>
      <w:docPartObj>
        <w:docPartGallery w:val="Page Numbers (Bottom of Page)"/>
        <w:docPartUnique/>
      </w:docPartObj>
    </w:sdtPr>
    <w:sdtEndPr>
      <w:rPr>
        <w:noProof/>
      </w:rPr>
    </w:sdtEndPr>
    <w:sdtContent>
      <w:p w:rsidR="00095692" w:rsidRDefault="00095692">
        <w:pPr>
          <w:pStyle w:val="Footer"/>
          <w:jc w:val="right"/>
        </w:pPr>
        <w:r>
          <w:fldChar w:fldCharType="begin"/>
        </w:r>
        <w:r>
          <w:instrText xml:space="preserve"> PAGE   \* MERGEFORMAT </w:instrText>
        </w:r>
        <w:r>
          <w:fldChar w:fldCharType="separate"/>
        </w:r>
        <w:r w:rsidR="003E7529">
          <w:rPr>
            <w:noProof/>
          </w:rPr>
          <w:t>1</w:t>
        </w:r>
        <w:r>
          <w:rPr>
            <w:noProof/>
          </w:rPr>
          <w:fldChar w:fldCharType="end"/>
        </w:r>
      </w:p>
    </w:sdtContent>
  </w:sdt>
  <w:p w:rsidR="00095692" w:rsidRDefault="00095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7E9" w:rsidRDefault="001F27E9" w:rsidP="009F60D8">
      <w:pPr>
        <w:spacing w:after="0" w:line="240" w:lineRule="auto"/>
      </w:pPr>
      <w:r>
        <w:separator/>
      </w:r>
    </w:p>
  </w:footnote>
  <w:footnote w:type="continuationSeparator" w:id="0">
    <w:p w:rsidR="001F27E9" w:rsidRDefault="001F27E9" w:rsidP="009F6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77912"/>
    <w:multiLevelType w:val="hybridMultilevel"/>
    <w:tmpl w:val="2D08EBDE"/>
    <w:lvl w:ilvl="0" w:tplc="6846E6D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09"/>
    <w:rsid w:val="00000D00"/>
    <w:rsid w:val="000062D0"/>
    <w:rsid w:val="00013972"/>
    <w:rsid w:val="00017173"/>
    <w:rsid w:val="00017ED7"/>
    <w:rsid w:val="0002038B"/>
    <w:rsid w:val="00024261"/>
    <w:rsid w:val="00037A9D"/>
    <w:rsid w:val="0004003E"/>
    <w:rsid w:val="000507EC"/>
    <w:rsid w:val="000700DC"/>
    <w:rsid w:val="00073F2C"/>
    <w:rsid w:val="00074809"/>
    <w:rsid w:val="00091428"/>
    <w:rsid w:val="00094934"/>
    <w:rsid w:val="00095692"/>
    <w:rsid w:val="000B4089"/>
    <w:rsid w:val="000C004C"/>
    <w:rsid w:val="000C3985"/>
    <w:rsid w:val="000C5D40"/>
    <w:rsid w:val="000C7E80"/>
    <w:rsid w:val="000D1ED1"/>
    <w:rsid w:val="000F09D1"/>
    <w:rsid w:val="000F104E"/>
    <w:rsid w:val="0010193C"/>
    <w:rsid w:val="001116C5"/>
    <w:rsid w:val="00112373"/>
    <w:rsid w:val="0012199F"/>
    <w:rsid w:val="001344A0"/>
    <w:rsid w:val="00142836"/>
    <w:rsid w:val="00160CFD"/>
    <w:rsid w:val="0016442C"/>
    <w:rsid w:val="00172AEE"/>
    <w:rsid w:val="00176389"/>
    <w:rsid w:val="00187569"/>
    <w:rsid w:val="001875B2"/>
    <w:rsid w:val="001A603A"/>
    <w:rsid w:val="001B1BB4"/>
    <w:rsid w:val="001D560F"/>
    <w:rsid w:val="001D7123"/>
    <w:rsid w:val="001F08E6"/>
    <w:rsid w:val="001F27E9"/>
    <w:rsid w:val="001F4868"/>
    <w:rsid w:val="00204779"/>
    <w:rsid w:val="002141D8"/>
    <w:rsid w:val="0021708C"/>
    <w:rsid w:val="00240C12"/>
    <w:rsid w:val="0024129C"/>
    <w:rsid w:val="0024220D"/>
    <w:rsid w:val="002429D0"/>
    <w:rsid w:val="0024333D"/>
    <w:rsid w:val="002505F7"/>
    <w:rsid w:val="0025227A"/>
    <w:rsid w:val="002807FA"/>
    <w:rsid w:val="002C3846"/>
    <w:rsid w:val="002D2F29"/>
    <w:rsid w:val="002E1420"/>
    <w:rsid w:val="002E4277"/>
    <w:rsid w:val="003048EB"/>
    <w:rsid w:val="00306448"/>
    <w:rsid w:val="00311AE3"/>
    <w:rsid w:val="00322417"/>
    <w:rsid w:val="00322A46"/>
    <w:rsid w:val="0032381D"/>
    <w:rsid w:val="00335BCF"/>
    <w:rsid w:val="00336F8C"/>
    <w:rsid w:val="0034327C"/>
    <w:rsid w:val="00355B59"/>
    <w:rsid w:val="0035700F"/>
    <w:rsid w:val="00357D70"/>
    <w:rsid w:val="00360521"/>
    <w:rsid w:val="003663AE"/>
    <w:rsid w:val="00366633"/>
    <w:rsid w:val="00366D57"/>
    <w:rsid w:val="003813E0"/>
    <w:rsid w:val="00391A33"/>
    <w:rsid w:val="00393A09"/>
    <w:rsid w:val="00395712"/>
    <w:rsid w:val="003A3D02"/>
    <w:rsid w:val="003B3497"/>
    <w:rsid w:val="003C3FC5"/>
    <w:rsid w:val="003D244E"/>
    <w:rsid w:val="003D36A8"/>
    <w:rsid w:val="003D62EE"/>
    <w:rsid w:val="003D77D7"/>
    <w:rsid w:val="003E283F"/>
    <w:rsid w:val="003E315C"/>
    <w:rsid w:val="003E631B"/>
    <w:rsid w:val="003E7529"/>
    <w:rsid w:val="003F4774"/>
    <w:rsid w:val="003F596F"/>
    <w:rsid w:val="003F72DA"/>
    <w:rsid w:val="00403068"/>
    <w:rsid w:val="004061D7"/>
    <w:rsid w:val="0041284B"/>
    <w:rsid w:val="00420EC8"/>
    <w:rsid w:val="0042677B"/>
    <w:rsid w:val="004349B3"/>
    <w:rsid w:val="00434F02"/>
    <w:rsid w:val="00436064"/>
    <w:rsid w:val="00452AC8"/>
    <w:rsid w:val="004538E6"/>
    <w:rsid w:val="00457F1D"/>
    <w:rsid w:val="004654A1"/>
    <w:rsid w:val="004725B7"/>
    <w:rsid w:val="00475FE9"/>
    <w:rsid w:val="004A1163"/>
    <w:rsid w:val="004A2ED7"/>
    <w:rsid w:val="004B6710"/>
    <w:rsid w:val="004B6789"/>
    <w:rsid w:val="004D4A3F"/>
    <w:rsid w:val="004D54B1"/>
    <w:rsid w:val="004E4CDA"/>
    <w:rsid w:val="004E569B"/>
    <w:rsid w:val="004E7C2C"/>
    <w:rsid w:val="004F38FD"/>
    <w:rsid w:val="004F663E"/>
    <w:rsid w:val="004F685D"/>
    <w:rsid w:val="004F6F62"/>
    <w:rsid w:val="005025C2"/>
    <w:rsid w:val="0050358D"/>
    <w:rsid w:val="00510A8E"/>
    <w:rsid w:val="005166A3"/>
    <w:rsid w:val="0052418D"/>
    <w:rsid w:val="00526BEC"/>
    <w:rsid w:val="005472B6"/>
    <w:rsid w:val="00561553"/>
    <w:rsid w:val="00573E7F"/>
    <w:rsid w:val="00587368"/>
    <w:rsid w:val="0059081A"/>
    <w:rsid w:val="00590EB8"/>
    <w:rsid w:val="005919D2"/>
    <w:rsid w:val="00593B76"/>
    <w:rsid w:val="005B1C09"/>
    <w:rsid w:val="005C0EF7"/>
    <w:rsid w:val="005C3422"/>
    <w:rsid w:val="005C3DED"/>
    <w:rsid w:val="005C49CA"/>
    <w:rsid w:val="005C7DFB"/>
    <w:rsid w:val="005C7E26"/>
    <w:rsid w:val="005D1023"/>
    <w:rsid w:val="005E0AEF"/>
    <w:rsid w:val="005E1D74"/>
    <w:rsid w:val="005F3397"/>
    <w:rsid w:val="006004B7"/>
    <w:rsid w:val="00610C57"/>
    <w:rsid w:val="0061130B"/>
    <w:rsid w:val="00637FC7"/>
    <w:rsid w:val="00640A82"/>
    <w:rsid w:val="0064560E"/>
    <w:rsid w:val="00647038"/>
    <w:rsid w:val="00650744"/>
    <w:rsid w:val="00653E16"/>
    <w:rsid w:val="006609EF"/>
    <w:rsid w:val="0067433B"/>
    <w:rsid w:val="00674E6F"/>
    <w:rsid w:val="00676F8A"/>
    <w:rsid w:val="006904FA"/>
    <w:rsid w:val="00693CED"/>
    <w:rsid w:val="006A22AE"/>
    <w:rsid w:val="006A3D51"/>
    <w:rsid w:val="006C2752"/>
    <w:rsid w:val="006C47A8"/>
    <w:rsid w:val="006C6BD5"/>
    <w:rsid w:val="006D2445"/>
    <w:rsid w:val="006D3986"/>
    <w:rsid w:val="006E2361"/>
    <w:rsid w:val="006E250D"/>
    <w:rsid w:val="006E76DE"/>
    <w:rsid w:val="006F0703"/>
    <w:rsid w:val="006F1DBB"/>
    <w:rsid w:val="00707044"/>
    <w:rsid w:val="00741617"/>
    <w:rsid w:val="00743CA7"/>
    <w:rsid w:val="0075784D"/>
    <w:rsid w:val="00782ECE"/>
    <w:rsid w:val="00785FB9"/>
    <w:rsid w:val="00787427"/>
    <w:rsid w:val="007B6E63"/>
    <w:rsid w:val="007C687D"/>
    <w:rsid w:val="007D6F01"/>
    <w:rsid w:val="007D7CE4"/>
    <w:rsid w:val="007E4307"/>
    <w:rsid w:val="007E4D42"/>
    <w:rsid w:val="007F5282"/>
    <w:rsid w:val="007F5447"/>
    <w:rsid w:val="007F66C1"/>
    <w:rsid w:val="0080412E"/>
    <w:rsid w:val="00805783"/>
    <w:rsid w:val="00806EBA"/>
    <w:rsid w:val="0080791C"/>
    <w:rsid w:val="00816F7E"/>
    <w:rsid w:val="00821A2A"/>
    <w:rsid w:val="008342A1"/>
    <w:rsid w:val="00834FD5"/>
    <w:rsid w:val="00836FD1"/>
    <w:rsid w:val="00843136"/>
    <w:rsid w:val="00850F31"/>
    <w:rsid w:val="00857B5A"/>
    <w:rsid w:val="00862507"/>
    <w:rsid w:val="008644B4"/>
    <w:rsid w:val="00865058"/>
    <w:rsid w:val="00873562"/>
    <w:rsid w:val="008B266B"/>
    <w:rsid w:val="008B430C"/>
    <w:rsid w:val="008B73C0"/>
    <w:rsid w:val="008C5E23"/>
    <w:rsid w:val="008D2BE3"/>
    <w:rsid w:val="008E58FE"/>
    <w:rsid w:val="008F384A"/>
    <w:rsid w:val="00921598"/>
    <w:rsid w:val="009348D2"/>
    <w:rsid w:val="00936CC0"/>
    <w:rsid w:val="00936FE4"/>
    <w:rsid w:val="00937667"/>
    <w:rsid w:val="009434F0"/>
    <w:rsid w:val="00945392"/>
    <w:rsid w:val="00952986"/>
    <w:rsid w:val="009661F8"/>
    <w:rsid w:val="0098503D"/>
    <w:rsid w:val="00986ED0"/>
    <w:rsid w:val="00993A61"/>
    <w:rsid w:val="00995E69"/>
    <w:rsid w:val="00997A30"/>
    <w:rsid w:val="009B2991"/>
    <w:rsid w:val="009B3A95"/>
    <w:rsid w:val="009C50FE"/>
    <w:rsid w:val="009C5631"/>
    <w:rsid w:val="009C590B"/>
    <w:rsid w:val="009D32A7"/>
    <w:rsid w:val="009F3054"/>
    <w:rsid w:val="009F60D8"/>
    <w:rsid w:val="00A011F3"/>
    <w:rsid w:val="00A05BA2"/>
    <w:rsid w:val="00A17B8A"/>
    <w:rsid w:val="00A20AC0"/>
    <w:rsid w:val="00A21683"/>
    <w:rsid w:val="00A30D38"/>
    <w:rsid w:val="00A378D5"/>
    <w:rsid w:val="00A56744"/>
    <w:rsid w:val="00A63808"/>
    <w:rsid w:val="00A6703D"/>
    <w:rsid w:val="00A816E3"/>
    <w:rsid w:val="00A84CB2"/>
    <w:rsid w:val="00AA4676"/>
    <w:rsid w:val="00AD4D9F"/>
    <w:rsid w:val="00AD5491"/>
    <w:rsid w:val="00AF3C74"/>
    <w:rsid w:val="00B0075B"/>
    <w:rsid w:val="00B00A69"/>
    <w:rsid w:val="00B020D2"/>
    <w:rsid w:val="00B10C51"/>
    <w:rsid w:val="00B110BF"/>
    <w:rsid w:val="00B11DBC"/>
    <w:rsid w:val="00B13438"/>
    <w:rsid w:val="00B14474"/>
    <w:rsid w:val="00B204EC"/>
    <w:rsid w:val="00B217EF"/>
    <w:rsid w:val="00B23CB5"/>
    <w:rsid w:val="00B30B4F"/>
    <w:rsid w:val="00B32541"/>
    <w:rsid w:val="00B43B65"/>
    <w:rsid w:val="00B554A1"/>
    <w:rsid w:val="00B61517"/>
    <w:rsid w:val="00B652A8"/>
    <w:rsid w:val="00B6704B"/>
    <w:rsid w:val="00B704B2"/>
    <w:rsid w:val="00B82ABB"/>
    <w:rsid w:val="00B92C40"/>
    <w:rsid w:val="00BA1519"/>
    <w:rsid w:val="00BA1C51"/>
    <w:rsid w:val="00BA22ED"/>
    <w:rsid w:val="00BA3346"/>
    <w:rsid w:val="00BA4E78"/>
    <w:rsid w:val="00BB30E5"/>
    <w:rsid w:val="00BC3B7E"/>
    <w:rsid w:val="00BD5C50"/>
    <w:rsid w:val="00BE4CE5"/>
    <w:rsid w:val="00BF167C"/>
    <w:rsid w:val="00BF1E77"/>
    <w:rsid w:val="00C12DE3"/>
    <w:rsid w:val="00C25447"/>
    <w:rsid w:val="00C302BD"/>
    <w:rsid w:val="00C551C7"/>
    <w:rsid w:val="00C64480"/>
    <w:rsid w:val="00C76B9F"/>
    <w:rsid w:val="00C85296"/>
    <w:rsid w:val="00C8711F"/>
    <w:rsid w:val="00C87B87"/>
    <w:rsid w:val="00C91645"/>
    <w:rsid w:val="00CA3B82"/>
    <w:rsid w:val="00CB0B67"/>
    <w:rsid w:val="00CB204E"/>
    <w:rsid w:val="00CE495D"/>
    <w:rsid w:val="00CF227E"/>
    <w:rsid w:val="00CF6B03"/>
    <w:rsid w:val="00CF7B45"/>
    <w:rsid w:val="00D07174"/>
    <w:rsid w:val="00D07BAA"/>
    <w:rsid w:val="00D224EE"/>
    <w:rsid w:val="00D26B98"/>
    <w:rsid w:val="00D344F1"/>
    <w:rsid w:val="00D34D9D"/>
    <w:rsid w:val="00D37C22"/>
    <w:rsid w:val="00D50FD1"/>
    <w:rsid w:val="00D768EE"/>
    <w:rsid w:val="00D779C4"/>
    <w:rsid w:val="00D84EDE"/>
    <w:rsid w:val="00D968E5"/>
    <w:rsid w:val="00DB05A5"/>
    <w:rsid w:val="00DB125E"/>
    <w:rsid w:val="00DB3C65"/>
    <w:rsid w:val="00DB7553"/>
    <w:rsid w:val="00DC0DE7"/>
    <w:rsid w:val="00DC16C2"/>
    <w:rsid w:val="00DD4221"/>
    <w:rsid w:val="00DE37E7"/>
    <w:rsid w:val="00DF75A5"/>
    <w:rsid w:val="00E04AA5"/>
    <w:rsid w:val="00E07F4F"/>
    <w:rsid w:val="00E10315"/>
    <w:rsid w:val="00E13B75"/>
    <w:rsid w:val="00E13F52"/>
    <w:rsid w:val="00E21921"/>
    <w:rsid w:val="00E36130"/>
    <w:rsid w:val="00E4430E"/>
    <w:rsid w:val="00E6522E"/>
    <w:rsid w:val="00E6670D"/>
    <w:rsid w:val="00E80D75"/>
    <w:rsid w:val="00E84264"/>
    <w:rsid w:val="00E873F4"/>
    <w:rsid w:val="00E87DC6"/>
    <w:rsid w:val="00E94446"/>
    <w:rsid w:val="00EA039D"/>
    <w:rsid w:val="00EA6918"/>
    <w:rsid w:val="00EB72AD"/>
    <w:rsid w:val="00EC21DA"/>
    <w:rsid w:val="00EC445A"/>
    <w:rsid w:val="00EC45C8"/>
    <w:rsid w:val="00EC5E35"/>
    <w:rsid w:val="00EC66F1"/>
    <w:rsid w:val="00EC7B3F"/>
    <w:rsid w:val="00ED510A"/>
    <w:rsid w:val="00EE3A87"/>
    <w:rsid w:val="00EF36B7"/>
    <w:rsid w:val="00EF4CED"/>
    <w:rsid w:val="00F07C59"/>
    <w:rsid w:val="00F11E3D"/>
    <w:rsid w:val="00F1681B"/>
    <w:rsid w:val="00F20410"/>
    <w:rsid w:val="00F20AEA"/>
    <w:rsid w:val="00F20BEA"/>
    <w:rsid w:val="00F32C71"/>
    <w:rsid w:val="00F416B5"/>
    <w:rsid w:val="00F50686"/>
    <w:rsid w:val="00F54722"/>
    <w:rsid w:val="00F57F5E"/>
    <w:rsid w:val="00F60E74"/>
    <w:rsid w:val="00F61B12"/>
    <w:rsid w:val="00F64373"/>
    <w:rsid w:val="00F66CBB"/>
    <w:rsid w:val="00F67536"/>
    <w:rsid w:val="00F923C5"/>
    <w:rsid w:val="00F93565"/>
    <w:rsid w:val="00FA0D7D"/>
    <w:rsid w:val="00FC4156"/>
    <w:rsid w:val="00FC5FC3"/>
    <w:rsid w:val="00FC7E9D"/>
    <w:rsid w:val="00FD1E28"/>
    <w:rsid w:val="00FD4606"/>
    <w:rsid w:val="00FD76CD"/>
    <w:rsid w:val="00FE12F5"/>
    <w:rsid w:val="00FE6AB9"/>
    <w:rsid w:val="00FF5555"/>
    <w:rsid w:val="00FF6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CB14E-401B-42A4-9384-4C523998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6E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284B"/>
    <w:pPr>
      <w:spacing w:after="0" w:line="240" w:lineRule="auto"/>
    </w:pPr>
  </w:style>
  <w:style w:type="character" w:styleId="CommentReference">
    <w:name w:val="annotation reference"/>
    <w:basedOn w:val="DefaultParagraphFont"/>
    <w:uiPriority w:val="99"/>
    <w:semiHidden/>
    <w:unhideWhenUsed/>
    <w:rsid w:val="00B32541"/>
    <w:rPr>
      <w:sz w:val="16"/>
      <w:szCs w:val="16"/>
    </w:rPr>
  </w:style>
  <w:style w:type="paragraph" w:styleId="CommentText">
    <w:name w:val="annotation text"/>
    <w:basedOn w:val="Normal"/>
    <w:link w:val="CommentTextChar"/>
    <w:uiPriority w:val="99"/>
    <w:semiHidden/>
    <w:unhideWhenUsed/>
    <w:rsid w:val="00B32541"/>
    <w:pPr>
      <w:spacing w:line="240" w:lineRule="auto"/>
    </w:pPr>
    <w:rPr>
      <w:sz w:val="20"/>
      <w:szCs w:val="20"/>
    </w:rPr>
  </w:style>
  <w:style w:type="character" w:customStyle="1" w:styleId="CommentTextChar">
    <w:name w:val="Comment Text Char"/>
    <w:basedOn w:val="DefaultParagraphFont"/>
    <w:link w:val="CommentText"/>
    <w:uiPriority w:val="99"/>
    <w:semiHidden/>
    <w:rsid w:val="00B32541"/>
    <w:rPr>
      <w:sz w:val="20"/>
      <w:szCs w:val="20"/>
    </w:rPr>
  </w:style>
  <w:style w:type="paragraph" w:styleId="CommentSubject">
    <w:name w:val="annotation subject"/>
    <w:basedOn w:val="CommentText"/>
    <w:next w:val="CommentText"/>
    <w:link w:val="CommentSubjectChar"/>
    <w:uiPriority w:val="99"/>
    <w:semiHidden/>
    <w:unhideWhenUsed/>
    <w:rsid w:val="00B32541"/>
    <w:rPr>
      <w:b/>
      <w:bCs/>
    </w:rPr>
  </w:style>
  <w:style w:type="character" w:customStyle="1" w:styleId="CommentSubjectChar">
    <w:name w:val="Comment Subject Char"/>
    <w:basedOn w:val="CommentTextChar"/>
    <w:link w:val="CommentSubject"/>
    <w:uiPriority w:val="99"/>
    <w:semiHidden/>
    <w:rsid w:val="00B32541"/>
    <w:rPr>
      <w:b/>
      <w:bCs/>
      <w:sz w:val="20"/>
      <w:szCs w:val="20"/>
    </w:rPr>
  </w:style>
  <w:style w:type="paragraph" w:styleId="BalloonText">
    <w:name w:val="Balloon Text"/>
    <w:basedOn w:val="Normal"/>
    <w:link w:val="BalloonTextChar"/>
    <w:uiPriority w:val="99"/>
    <w:semiHidden/>
    <w:unhideWhenUsed/>
    <w:rsid w:val="00B32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541"/>
    <w:rPr>
      <w:rFonts w:ascii="Segoe UI" w:hAnsi="Segoe UI" w:cs="Segoe UI"/>
      <w:sz w:val="18"/>
      <w:szCs w:val="18"/>
    </w:rPr>
  </w:style>
  <w:style w:type="paragraph" w:styleId="Header">
    <w:name w:val="header"/>
    <w:basedOn w:val="Normal"/>
    <w:link w:val="HeaderChar"/>
    <w:uiPriority w:val="99"/>
    <w:unhideWhenUsed/>
    <w:rsid w:val="009F6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0D8"/>
  </w:style>
  <w:style w:type="paragraph" w:styleId="Footer">
    <w:name w:val="footer"/>
    <w:basedOn w:val="Normal"/>
    <w:link w:val="FooterChar"/>
    <w:uiPriority w:val="99"/>
    <w:unhideWhenUsed/>
    <w:rsid w:val="009F6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0D8"/>
  </w:style>
  <w:style w:type="character" w:customStyle="1" w:styleId="Heading1Char">
    <w:name w:val="Heading 1 Char"/>
    <w:basedOn w:val="DefaultParagraphFont"/>
    <w:link w:val="Heading1"/>
    <w:uiPriority w:val="9"/>
    <w:rsid w:val="007B6E6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B6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3102">
      <w:bodyDiv w:val="1"/>
      <w:marLeft w:val="0"/>
      <w:marRight w:val="0"/>
      <w:marTop w:val="0"/>
      <w:marBottom w:val="0"/>
      <w:divBdr>
        <w:top w:val="none" w:sz="0" w:space="0" w:color="auto"/>
        <w:left w:val="none" w:sz="0" w:space="0" w:color="auto"/>
        <w:bottom w:val="none" w:sz="0" w:space="0" w:color="auto"/>
        <w:right w:val="none" w:sz="0" w:space="0" w:color="auto"/>
      </w:divBdr>
    </w:div>
    <w:div w:id="218518831">
      <w:bodyDiv w:val="1"/>
      <w:marLeft w:val="0"/>
      <w:marRight w:val="0"/>
      <w:marTop w:val="0"/>
      <w:marBottom w:val="0"/>
      <w:divBdr>
        <w:top w:val="none" w:sz="0" w:space="0" w:color="auto"/>
        <w:left w:val="none" w:sz="0" w:space="0" w:color="auto"/>
        <w:bottom w:val="none" w:sz="0" w:space="0" w:color="auto"/>
        <w:right w:val="none" w:sz="0" w:space="0" w:color="auto"/>
      </w:divBdr>
    </w:div>
    <w:div w:id="542593091">
      <w:bodyDiv w:val="1"/>
      <w:marLeft w:val="0"/>
      <w:marRight w:val="0"/>
      <w:marTop w:val="0"/>
      <w:marBottom w:val="0"/>
      <w:divBdr>
        <w:top w:val="none" w:sz="0" w:space="0" w:color="auto"/>
        <w:left w:val="none" w:sz="0" w:space="0" w:color="auto"/>
        <w:bottom w:val="none" w:sz="0" w:space="0" w:color="auto"/>
        <w:right w:val="none" w:sz="0" w:space="0" w:color="auto"/>
      </w:divBdr>
    </w:div>
    <w:div w:id="738672338">
      <w:bodyDiv w:val="1"/>
      <w:marLeft w:val="0"/>
      <w:marRight w:val="0"/>
      <w:marTop w:val="0"/>
      <w:marBottom w:val="0"/>
      <w:divBdr>
        <w:top w:val="none" w:sz="0" w:space="0" w:color="auto"/>
        <w:left w:val="none" w:sz="0" w:space="0" w:color="auto"/>
        <w:bottom w:val="none" w:sz="0" w:space="0" w:color="auto"/>
        <w:right w:val="none" w:sz="0" w:space="0" w:color="auto"/>
      </w:divBdr>
    </w:div>
    <w:div w:id="762342933">
      <w:bodyDiv w:val="1"/>
      <w:marLeft w:val="0"/>
      <w:marRight w:val="0"/>
      <w:marTop w:val="0"/>
      <w:marBottom w:val="0"/>
      <w:divBdr>
        <w:top w:val="none" w:sz="0" w:space="0" w:color="auto"/>
        <w:left w:val="none" w:sz="0" w:space="0" w:color="auto"/>
        <w:bottom w:val="none" w:sz="0" w:space="0" w:color="auto"/>
        <w:right w:val="none" w:sz="0" w:space="0" w:color="auto"/>
      </w:divBdr>
    </w:div>
    <w:div w:id="836043022">
      <w:bodyDiv w:val="1"/>
      <w:marLeft w:val="0"/>
      <w:marRight w:val="0"/>
      <w:marTop w:val="0"/>
      <w:marBottom w:val="0"/>
      <w:divBdr>
        <w:top w:val="none" w:sz="0" w:space="0" w:color="auto"/>
        <w:left w:val="none" w:sz="0" w:space="0" w:color="auto"/>
        <w:bottom w:val="none" w:sz="0" w:space="0" w:color="auto"/>
        <w:right w:val="none" w:sz="0" w:space="0" w:color="auto"/>
      </w:divBdr>
    </w:div>
    <w:div w:id="1064447092">
      <w:bodyDiv w:val="1"/>
      <w:marLeft w:val="0"/>
      <w:marRight w:val="0"/>
      <w:marTop w:val="0"/>
      <w:marBottom w:val="0"/>
      <w:divBdr>
        <w:top w:val="none" w:sz="0" w:space="0" w:color="auto"/>
        <w:left w:val="none" w:sz="0" w:space="0" w:color="auto"/>
        <w:bottom w:val="none" w:sz="0" w:space="0" w:color="auto"/>
        <w:right w:val="none" w:sz="0" w:space="0" w:color="auto"/>
      </w:divBdr>
    </w:div>
    <w:div w:id="1245339527">
      <w:bodyDiv w:val="1"/>
      <w:marLeft w:val="0"/>
      <w:marRight w:val="0"/>
      <w:marTop w:val="0"/>
      <w:marBottom w:val="0"/>
      <w:divBdr>
        <w:top w:val="none" w:sz="0" w:space="0" w:color="auto"/>
        <w:left w:val="none" w:sz="0" w:space="0" w:color="auto"/>
        <w:bottom w:val="none" w:sz="0" w:space="0" w:color="auto"/>
        <w:right w:val="none" w:sz="0" w:space="0" w:color="auto"/>
      </w:divBdr>
    </w:div>
    <w:div w:id="198489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6CF83-BA8E-4C64-A329-6728A0F70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2986</TotalTime>
  <Pages>1</Pages>
  <Words>2399</Words>
  <Characters>13678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Pridon Aslanikashvili</dc:creator>
  <cp:keywords/>
  <dc:description/>
  <cp:lastModifiedBy>Ekaterine Guntsadze</cp:lastModifiedBy>
  <cp:revision>2</cp:revision>
  <cp:lastPrinted>2019-11-29T08:42:00Z</cp:lastPrinted>
  <dcterms:created xsi:type="dcterms:W3CDTF">2019-12-13T14:24:00Z</dcterms:created>
  <dcterms:modified xsi:type="dcterms:W3CDTF">2019-12-13T14:24:00Z</dcterms:modified>
</cp:coreProperties>
</file>