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6B" w:rsidRDefault="00E5366B" w:rsidP="00E5366B">
      <w:pPr>
        <w:jc w:val="center"/>
      </w:pPr>
      <w:r w:rsidRPr="00B81330">
        <w:rPr>
          <w:noProof/>
        </w:rPr>
        <w:drawing>
          <wp:inline distT="0" distB="0" distL="0" distR="0">
            <wp:extent cx="3657600" cy="3362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6B" w:rsidRDefault="00E5366B" w:rsidP="00E5366B"/>
    <w:p w:rsidR="00E5366B" w:rsidRDefault="00E5366B" w:rsidP="00E5366B">
      <w:pPr>
        <w:rPr>
          <w:rFonts w:ascii="LitNusx" w:hAnsi="LitNusx"/>
          <w:b/>
          <w:bCs/>
          <w:sz w:val="40"/>
        </w:rPr>
      </w:pPr>
    </w:p>
    <w:p w:rsidR="00E5366B" w:rsidRDefault="00E5366B" w:rsidP="00E5366B">
      <w:pPr>
        <w:rPr>
          <w:rFonts w:ascii="LitNusx" w:hAnsi="LitNusx"/>
          <w:b/>
          <w:bCs/>
          <w:sz w:val="40"/>
        </w:rPr>
      </w:pPr>
    </w:p>
    <w:p w:rsidR="00E5366B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:rsidR="00E5366B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iCs/>
          <w:sz w:val="40"/>
          <w:szCs w:val="40"/>
          <w:lang w:val="pt-BR"/>
        </w:rPr>
      </w:pPr>
    </w:p>
    <w:p w:rsidR="00E5366B" w:rsidRPr="003E5C97" w:rsidRDefault="00E5366B" w:rsidP="00E5366B">
      <w:pPr>
        <w:jc w:val="center"/>
        <w:rPr>
          <w:rFonts w:ascii="AcadMtavr" w:hAnsi="AcadMtavr"/>
          <w:b/>
          <w:iCs/>
          <w:sz w:val="36"/>
          <w:szCs w:val="36"/>
          <w:lang w:val="pt-BR"/>
        </w:rPr>
      </w:pPr>
      <w:r w:rsidRPr="003E5C97">
        <w:rPr>
          <w:rFonts w:ascii="AcadMtavr" w:hAnsi="AcadMtavr"/>
          <w:b/>
          <w:iCs/>
          <w:sz w:val="36"/>
          <w:szCs w:val="36"/>
          <w:lang w:val="pt-BR"/>
        </w:rPr>
        <w:t>informacia saxelmwifo valis Sesaxeb</w:t>
      </w:r>
    </w:p>
    <w:p w:rsidR="00E5366B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E5366B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E5366B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E5366B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E5366B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E5366B" w:rsidRPr="003E5C97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:rsidR="00E5366B" w:rsidRPr="003E5C97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Tbilisi</w:t>
      </w:r>
    </w:p>
    <w:p w:rsidR="00E5366B" w:rsidRPr="003E5C97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</w:p>
    <w:p w:rsidR="00E5366B" w:rsidRPr="003E5C97" w:rsidRDefault="00E5366B" w:rsidP="00E5366B">
      <w:pPr>
        <w:tabs>
          <w:tab w:val="left" w:pos="4980"/>
        </w:tabs>
        <w:jc w:val="center"/>
        <w:rPr>
          <w:rFonts w:ascii="AcadMtavr" w:hAnsi="AcadMtavr"/>
          <w:b/>
          <w:bCs/>
          <w:sz w:val="26"/>
          <w:szCs w:val="26"/>
          <w:lang w:val="pt-BR"/>
        </w:rPr>
      </w:pPr>
      <w:r w:rsidRPr="003E5C97">
        <w:rPr>
          <w:rFonts w:ascii="AcadMtavr" w:hAnsi="AcadMtavr"/>
          <w:b/>
          <w:bCs/>
          <w:sz w:val="26"/>
          <w:szCs w:val="26"/>
          <w:lang w:val="pt-BR"/>
        </w:rPr>
        <w:t>201</w:t>
      </w:r>
      <w:r>
        <w:rPr>
          <w:rFonts w:ascii="AcadMtavr" w:hAnsi="AcadMtavr"/>
          <w:b/>
          <w:bCs/>
          <w:sz w:val="26"/>
          <w:szCs w:val="26"/>
          <w:lang w:val="pt-BR"/>
        </w:rPr>
        <w:t>8</w:t>
      </w:r>
    </w:p>
    <w:p w:rsidR="00270120" w:rsidRPr="0057502A" w:rsidRDefault="00013D97" w:rsidP="00B5085B">
      <w:pPr>
        <w:spacing w:after="240"/>
        <w:jc w:val="center"/>
        <w:rPr>
          <w:rFonts w:ascii="Sylfaen" w:hAnsi="Sylfaen"/>
          <w:b/>
          <w:sz w:val="28"/>
          <w:lang w:val="ka-GE"/>
        </w:rPr>
      </w:pPr>
      <w:r w:rsidRPr="0057502A">
        <w:rPr>
          <w:rFonts w:ascii="Sylfaen" w:hAnsi="Sylfaen"/>
          <w:b/>
          <w:sz w:val="28"/>
          <w:lang w:val="ka-GE"/>
        </w:rPr>
        <w:lastRenderedPageBreak/>
        <w:t>სახელ</w:t>
      </w:r>
      <w:r w:rsidR="005A44F5" w:rsidRPr="0057502A">
        <w:rPr>
          <w:rFonts w:ascii="Sylfaen" w:hAnsi="Sylfaen"/>
          <w:b/>
          <w:sz w:val="28"/>
          <w:lang w:val="ka-GE"/>
        </w:rPr>
        <w:t>მ</w:t>
      </w:r>
      <w:r w:rsidRPr="0057502A">
        <w:rPr>
          <w:rFonts w:ascii="Sylfaen" w:hAnsi="Sylfaen"/>
          <w:b/>
          <w:sz w:val="28"/>
          <w:lang w:val="ka-GE"/>
        </w:rPr>
        <w:t>წ</w:t>
      </w:r>
      <w:r w:rsidR="005A44F5" w:rsidRPr="0057502A">
        <w:rPr>
          <w:rFonts w:ascii="Sylfaen" w:hAnsi="Sylfaen"/>
          <w:b/>
          <w:sz w:val="28"/>
          <w:lang w:val="ka-GE"/>
        </w:rPr>
        <w:t>იფო ვალი</w:t>
      </w:r>
    </w:p>
    <w:p w:rsidR="009B63F3" w:rsidRDefault="00CC46C4" w:rsidP="006F4202">
      <w:pPr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proofErr w:type="spellStart"/>
      <w:proofErr w:type="gram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proofErr w:type="gramEnd"/>
      <w:r w:rsidR="009B63F3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434625">
        <w:rPr>
          <w:rFonts w:ascii="Sylfaen" w:hAnsi="Sylfaen" w:cs="Sylfaen"/>
          <w:szCs w:val="21"/>
          <w:shd w:val="clear" w:color="auto" w:fill="FFFFFF"/>
        </w:rPr>
        <w:t>8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31 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მარტის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 შეადგენს 16,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>315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34625">
        <w:rPr>
          <w:rFonts w:ascii="Sylfaen" w:hAnsi="Sylfaen" w:cs="Sylfaen"/>
          <w:szCs w:val="21"/>
          <w:shd w:val="clear" w:color="auto" w:fill="FFFFFF"/>
          <w:lang w:val="ka-GE"/>
        </w:rPr>
        <w:t xml:space="preserve">0 </w:t>
      </w:r>
      <w:r w:rsidR="009B63F3">
        <w:rPr>
          <w:rFonts w:ascii="Sylfaen" w:hAnsi="Sylfaen" w:cs="Sylfaen"/>
          <w:szCs w:val="21"/>
          <w:shd w:val="clear" w:color="auto" w:fill="FFFFFF"/>
          <w:lang w:val="ka-GE"/>
        </w:rPr>
        <w:t>მილიონ ლარს.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12</w:t>
      </w:r>
      <w:r w:rsidR="0056160F">
        <w:rPr>
          <w:rFonts w:ascii="Sylfaen" w:hAnsi="Sylfaen"/>
          <w:szCs w:val="21"/>
          <w:shd w:val="clear" w:color="auto" w:fill="FFFFFF"/>
          <w:lang w:val="ka-GE"/>
        </w:rPr>
        <w:t>,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792</w:t>
      </w:r>
      <w:r w:rsidR="0056160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2</w:t>
      </w:r>
      <w:r w:rsidR="00434625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მილიონ ლარს,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 ხოლო საშინაო ვალის ნაშთი 3,</w:t>
      </w:r>
      <w:r w:rsidR="00434625">
        <w:rPr>
          <w:rFonts w:ascii="Sylfaen" w:hAnsi="Sylfaen"/>
          <w:szCs w:val="21"/>
          <w:shd w:val="clear" w:color="auto" w:fill="FFFFFF"/>
          <w:lang w:val="ka-GE"/>
        </w:rPr>
        <w:t>522.9</w:t>
      </w:r>
      <w:r w:rsidR="009B63F3">
        <w:rPr>
          <w:rFonts w:ascii="Sylfaen" w:hAnsi="Sylfaen"/>
          <w:szCs w:val="21"/>
          <w:shd w:val="clear" w:color="auto" w:fill="FFFFFF"/>
          <w:lang w:val="ka-GE"/>
        </w:rPr>
        <w:t xml:space="preserve"> მილიონ ლარს.</w:t>
      </w:r>
    </w:p>
    <w:p w:rsidR="006F4202" w:rsidRPr="004C0704" w:rsidRDefault="009B63F3" w:rsidP="009B63F3">
      <w:pPr>
        <w:ind w:firstLine="720"/>
        <w:jc w:val="both"/>
        <w:rPr>
          <w:rFonts w:ascii="Calibri" w:eastAsia="Times New Roman" w:hAnsi="Calibri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9363B9">
        <w:rPr>
          <w:rFonts w:ascii="Sylfaen" w:hAnsi="Sylfaen"/>
          <w:szCs w:val="21"/>
          <w:shd w:val="clear" w:color="auto" w:fill="FFFFFF"/>
          <w:lang w:val="ka-GE"/>
        </w:rPr>
        <w:t>12,792.2</w:t>
      </w:r>
      <w:r w:rsidR="009363B9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>მილიონი ლარი,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r w:rsidR="009363B9" w:rsidRPr="00F01A27">
        <w:rPr>
          <w:rFonts w:ascii="Sylfaen" w:hAnsi="Sylfaen"/>
          <w:szCs w:val="21"/>
          <w:shd w:val="clear" w:color="auto" w:fill="FFFFFF"/>
        </w:rPr>
        <w:t>7</w:t>
      </w:r>
      <w:r w:rsidR="009363B9">
        <w:rPr>
          <w:rFonts w:ascii="Sylfaen" w:hAnsi="Sylfaen"/>
          <w:szCs w:val="21"/>
          <w:shd w:val="clear" w:color="auto" w:fill="FFFFFF"/>
        </w:rPr>
        <w:t>8</w:t>
      </w:r>
      <w:r w:rsidR="006F4202" w:rsidRPr="00F01A27">
        <w:rPr>
          <w:rFonts w:ascii="Sylfaen" w:hAnsi="Sylfaen"/>
          <w:szCs w:val="21"/>
          <w:shd w:val="clear" w:color="auto" w:fill="FFFFFF"/>
        </w:rPr>
        <w:t>%-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F01A2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F01A2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. </w:t>
      </w:r>
      <w:proofErr w:type="spellStart"/>
      <w:r w:rsidR="006F4202" w:rsidRPr="004C0704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4C0704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4C0704">
        <w:rPr>
          <w:rFonts w:ascii="Sylfaen" w:hAnsi="Sylfaen"/>
          <w:szCs w:val="21"/>
          <w:shd w:val="clear" w:color="auto" w:fill="FFFFFF"/>
          <w:lang w:val="ka-GE"/>
        </w:rPr>
        <w:t>21.</w:t>
      </w:r>
      <w:r w:rsidR="004C0704" w:rsidRPr="004C0704">
        <w:rPr>
          <w:rFonts w:ascii="Sylfaen" w:hAnsi="Sylfaen"/>
          <w:szCs w:val="21"/>
          <w:shd w:val="clear" w:color="auto" w:fill="FFFFFF"/>
          <w:lang w:val="ka-GE"/>
        </w:rPr>
        <w:t>5</w:t>
      </w:r>
      <w:r w:rsidR="00C126E1" w:rsidRPr="004C070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4C0704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4C0704">
        <w:rPr>
          <w:rFonts w:ascii="Sylfaen" w:hAnsi="Sylfaen"/>
          <w:szCs w:val="21"/>
          <w:shd w:val="clear" w:color="auto" w:fill="FFFFFF"/>
        </w:rPr>
        <w:t xml:space="preserve"> </w:t>
      </w:r>
      <w:r w:rsidR="00E17E10" w:rsidRPr="004C0704">
        <w:rPr>
          <w:rFonts w:ascii="Sylfaen" w:hAnsi="Sylfaen"/>
          <w:szCs w:val="21"/>
          <w:shd w:val="clear" w:color="auto" w:fill="FFFFFF"/>
          <w:lang w:val="ka-GE"/>
        </w:rPr>
        <w:t>8</w:t>
      </w:r>
      <w:r w:rsidR="003F75A7" w:rsidRPr="004C0704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C0704" w:rsidRPr="004C0704">
        <w:rPr>
          <w:rFonts w:ascii="Sylfaen" w:hAnsi="Sylfaen"/>
          <w:szCs w:val="21"/>
          <w:shd w:val="clear" w:color="auto" w:fill="FFFFFF"/>
        </w:rPr>
        <w:t>5</w:t>
      </w:r>
      <w:r w:rsidR="00C126E1" w:rsidRPr="004C070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4C0704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სახელმწიფო საგარეო ვალის საშუალო შეწონილი საპროცენტო განაკვეთი შეადგენს </w:t>
      </w:r>
      <w:r w:rsidR="00CB36D7" w:rsidRPr="004C0704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8D1F2B" w:rsidRPr="004C0704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9363B9" w:rsidRPr="004C0704">
        <w:rPr>
          <w:rFonts w:ascii="Sylfaen" w:hAnsi="Sylfaen" w:cs="Sylfaen"/>
          <w:szCs w:val="21"/>
          <w:shd w:val="clear" w:color="auto" w:fill="FFFFFF"/>
        </w:rPr>
        <w:t>3</w:t>
      </w:r>
      <w:r w:rsidR="006F4202" w:rsidRPr="004C0704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6F4202" w:rsidP="006F4202">
      <w:pPr>
        <w:tabs>
          <w:tab w:val="left" w:pos="720"/>
        </w:tabs>
        <w:spacing w:after="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>სახელ</w:t>
      </w:r>
      <w:r w:rsidR="0078542F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>მ</w:t>
      </w:r>
      <w:r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წიფო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2017 </w:t>
      </w:r>
      <w:r w:rsidR="00CB36D7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წლის </w:t>
      </w:r>
      <w:r w:rsidR="0056160F" w:rsidRPr="004C0704">
        <w:rPr>
          <w:rFonts w:ascii="Sylfaen" w:hAnsi="Sylfaen"/>
          <w:b/>
          <w:szCs w:val="18"/>
          <w:shd w:val="clear" w:color="auto" w:fill="FFFFFF"/>
          <w:lang w:val="ka-GE"/>
        </w:rPr>
        <w:t>3</w:t>
      </w:r>
      <w:r w:rsidR="00E63052" w:rsidRPr="004C0704">
        <w:rPr>
          <w:rFonts w:ascii="Sylfaen" w:hAnsi="Sylfaen"/>
          <w:b/>
          <w:szCs w:val="18"/>
          <w:shd w:val="clear" w:color="auto" w:fill="FFFFFF"/>
          <w:lang w:val="ka-GE"/>
        </w:rPr>
        <w:t>1</w:t>
      </w:r>
      <w:r w:rsidR="0056160F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E63052" w:rsidRPr="004C0704">
        <w:rPr>
          <w:rFonts w:ascii="Sylfaen" w:hAnsi="Sylfaen"/>
          <w:b/>
          <w:szCs w:val="18"/>
          <w:shd w:val="clear" w:color="auto" w:fill="FFFFFF"/>
          <w:lang w:val="ka-GE"/>
        </w:rPr>
        <w:t>დეკემბრის</w:t>
      </w:r>
      <w:r w:rsidR="00E63052" w:rsidRPr="004C070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4C0704">
        <w:rPr>
          <w:rFonts w:ascii="Sylfaen" w:hAnsi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57502A" w:rsidRDefault="00CC1535" w:rsidP="006F4202">
      <w:pPr>
        <w:jc w:val="both"/>
        <w:rPr>
          <w:rFonts w:ascii="Sylfaen" w:hAnsi="Sylfaen"/>
          <w:lang w:val="ka-GE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E6544" w:rsidRPr="004C0704" w:rsidRDefault="006E6544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6E6544" w:rsidRPr="004C0704" w:rsidRDefault="006E6544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2.03%</w:t>
                              </w:r>
                            </w:p>
                            <w:p w:rsidR="006E6544" w:rsidRPr="004C0704" w:rsidRDefault="006E6544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5 წელი</w:t>
                              </w:r>
                            </w:p>
                            <w:p w:rsidR="006E6544" w:rsidRPr="00DE4001" w:rsidRDefault="006E6544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4C0704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8. </w:t>
                              </w:r>
                              <w:proofErr w:type="gramStart"/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5</w:t>
                              </w:r>
                              <w:proofErr w:type="gramEnd"/>
                              <w:r w:rsidRPr="004C070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6E6544" w:rsidRPr="004C0704" w:rsidRDefault="006E6544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6E6544" w:rsidRPr="004C0704" w:rsidRDefault="006E6544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2.03%</w:t>
                        </w:r>
                      </w:p>
                      <w:p w:rsidR="006E6544" w:rsidRPr="004C0704" w:rsidRDefault="006E6544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4C070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5 წელი</w:t>
                        </w:r>
                      </w:p>
                      <w:p w:rsidR="006E6544" w:rsidRPr="00DE4001" w:rsidRDefault="006E6544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4C0704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8. </w:t>
                        </w:r>
                        <w:proofErr w:type="gramStart"/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5</w:t>
                        </w:r>
                        <w:proofErr w:type="gramEnd"/>
                        <w:r w:rsidRPr="004C070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4C0704">
        <w:rPr>
          <w:noProof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4202" w:rsidRPr="001C5235" w:rsidRDefault="002F5FB0" w:rsidP="006F4202">
      <w:pPr>
        <w:tabs>
          <w:tab w:val="left" w:pos="720"/>
        </w:tabs>
        <w:spacing w:after="12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8EEFE" wp14:editId="60D53627">
            <wp:simplePos x="0" y="0"/>
            <wp:positionH relativeFrom="column">
              <wp:posOffset>66675</wp:posOffset>
            </wp:positionH>
            <wp:positionV relativeFrom="paragraph">
              <wp:posOffset>1686560</wp:posOffset>
            </wp:positionV>
            <wp:extent cx="2466975" cy="1981200"/>
            <wp:effectExtent l="0" t="0" r="28575" b="0"/>
            <wp:wrapThrough wrapText="bothSides">
              <wp:wrapPolygon edited="0">
                <wp:start x="0" y="0"/>
                <wp:lineTo x="0" y="21392"/>
                <wp:lineTo x="21683" y="21392"/>
                <wp:lineTo x="21683" y="0"/>
                <wp:lineTo x="0" y="0"/>
              </wp:wrapPolygon>
            </wp:wrapThrough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9363B9">
        <w:rPr>
          <w:rFonts w:ascii="Sylfaen" w:hAnsi="Sylfaen" w:cs="Sylfaen"/>
          <w:szCs w:val="21"/>
          <w:shd w:val="clear" w:color="auto" w:fill="FFFFFF"/>
        </w:rPr>
        <w:t>8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31 მარტის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proofErr w:type="spellStart"/>
      <w:r w:rsidR="006F4202" w:rsidRPr="0057502A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57502A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57502A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9C1DED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9C1DED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17E10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E63052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F01A2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სახელმწიფო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F01A2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. სახელმ</w:t>
      </w:r>
      <w:r w:rsidR="00E569AC" w:rsidRPr="00F01A27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იფო საგარეო ვალის </w:t>
      </w:r>
      <w:r w:rsidR="009363B9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="009363B9">
        <w:rPr>
          <w:rFonts w:ascii="Sylfaen" w:hAnsi="Sylfaen" w:cs="Sylfaen"/>
          <w:szCs w:val="21"/>
          <w:shd w:val="clear" w:color="auto" w:fill="FFFFFF"/>
        </w:rPr>
        <w:t>0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F01A2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F01A27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სავალუტო ფონდის და აზიის განვითარების ბანკის ფინანსური რესურსების დიდი წილის გამო. </w:t>
      </w:r>
    </w:p>
    <w:p w:rsidR="00B7509F" w:rsidRDefault="009363B9" w:rsidP="006D6E25">
      <w:pPr>
        <w:tabs>
          <w:tab w:val="left" w:pos="360"/>
        </w:tabs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3477451</wp:posOffset>
            </wp:positionH>
            <wp:positionV relativeFrom="paragraph">
              <wp:posOffset>12807</wp:posOffset>
            </wp:positionV>
            <wp:extent cx="2555913" cy="2131274"/>
            <wp:effectExtent l="0" t="0" r="0" b="254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570C98" w:rsidRPr="0057502A">
        <w:rPr>
          <w:rFonts w:ascii="Sylfaen" w:hAnsi="Sylfaen"/>
          <w:lang w:val="ka-GE"/>
        </w:rPr>
        <w:t xml:space="preserve">  </w:t>
      </w:r>
    </w:p>
    <w:p w:rsidR="00A93CD1" w:rsidRDefault="00A93CD1" w:rsidP="006D6E25">
      <w:pPr>
        <w:tabs>
          <w:tab w:val="left" w:pos="360"/>
        </w:tabs>
        <w:rPr>
          <w:rFonts w:ascii="Sylfaen" w:hAnsi="Sylfaen"/>
        </w:rPr>
      </w:pPr>
    </w:p>
    <w:p w:rsidR="00A93CD1" w:rsidRPr="00A93CD1" w:rsidRDefault="00A93CD1" w:rsidP="006D6E25">
      <w:pPr>
        <w:tabs>
          <w:tab w:val="left" w:pos="360"/>
        </w:tabs>
        <w:rPr>
          <w:rFonts w:ascii="Sylfaen" w:hAnsi="Sylfaen"/>
        </w:rPr>
      </w:pPr>
    </w:p>
    <w:p w:rsidR="006042C4" w:rsidRDefault="006042C4" w:rsidP="00B14B51">
      <w:pPr>
        <w:tabs>
          <w:tab w:val="left" w:pos="360"/>
        </w:tabs>
        <w:spacing w:after="0"/>
        <w:jc w:val="center"/>
        <w:rPr>
          <w:rFonts w:ascii="Sylfaen" w:hAnsi="Sylfaen"/>
          <w:b/>
          <w:lang w:val="ka-GE"/>
        </w:rPr>
      </w:pPr>
    </w:p>
    <w:p w:rsidR="002F5FB0" w:rsidRDefault="002F5FB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:rsidR="00071D1D" w:rsidRDefault="00071D1D" w:rsidP="00071D1D">
      <w:pPr>
        <w:tabs>
          <w:tab w:val="left" w:pos="360"/>
        </w:tabs>
        <w:spacing w:after="0"/>
        <w:jc w:val="center"/>
        <w:rPr>
          <w:rFonts w:ascii="Sylfaen" w:hAnsi="Sylfaen"/>
          <w:b/>
        </w:rPr>
      </w:pPr>
      <w:r w:rsidRPr="00B04141">
        <w:rPr>
          <w:rFonts w:ascii="Sylfaen" w:hAnsi="Sylfaen"/>
          <w:b/>
          <w:lang w:val="ka-GE"/>
        </w:rPr>
        <w:lastRenderedPageBreak/>
        <w:t xml:space="preserve">სახელმწიფო საგარეო ვალის სტრუქტურა - </w:t>
      </w:r>
      <w:r w:rsidR="00E46C45" w:rsidRPr="00BA42EA">
        <w:rPr>
          <w:rFonts w:ascii="Sylfaen" w:hAnsi="Sylfaen"/>
          <w:b/>
          <w:lang w:val="ka-GE"/>
        </w:rPr>
        <w:t xml:space="preserve">2018 წლის 31 მარტის </w:t>
      </w:r>
      <w:r w:rsidRPr="00B04141">
        <w:rPr>
          <w:rFonts w:ascii="Sylfaen" w:hAnsi="Sylfaen"/>
          <w:b/>
          <w:lang w:val="ka-GE"/>
        </w:rPr>
        <w:t>მდგომარეობით</w:t>
      </w:r>
    </w:p>
    <w:p w:rsidR="00ED39B6" w:rsidRPr="00A93CD1" w:rsidRDefault="00ED39B6" w:rsidP="00071D1D">
      <w:pPr>
        <w:tabs>
          <w:tab w:val="left" w:pos="360"/>
        </w:tabs>
        <w:spacing w:after="0"/>
        <w:jc w:val="center"/>
        <w:rPr>
          <w:rFonts w:ascii="Sylfaen" w:hAnsi="Sylfaen"/>
          <w:b/>
        </w:rPr>
      </w:pPr>
    </w:p>
    <w:p w:rsidR="00E46C45" w:rsidRDefault="00E46C45" w:rsidP="00E46C45">
      <w:pPr>
        <w:tabs>
          <w:tab w:val="left" w:pos="360"/>
        </w:tabs>
        <w:spacing w:after="0"/>
        <w:jc w:val="center"/>
      </w:pPr>
      <w:r>
        <w:rPr>
          <w:lang w:val="ka-GE"/>
        </w:rPr>
        <w:fldChar w:fldCharType="begin"/>
      </w:r>
      <w:r>
        <w:rPr>
          <w:lang w:val="ka-GE"/>
        </w:rPr>
        <w:instrText xml:space="preserve"> LINK </w:instrText>
      </w:r>
      <w:r w:rsidR="00160413">
        <w:rPr>
          <w:lang w:val="ka-GE"/>
        </w:rPr>
        <w:instrText xml:space="preserve">Excel.Sheet.12 "D:\\manana.kharchilava\\Manana\\AVERAGE Terms\\Average Weighted Interest Rate_2018 MAR_GEO-Eng.xlsx" Mar-18!R5C2:R104C9 </w:instrText>
      </w:r>
      <w:r>
        <w:rPr>
          <w:lang w:val="ka-GE"/>
        </w:rPr>
        <w:instrText xml:space="preserve">\a \f 4 \h  \* MERGEFORMAT </w:instrText>
      </w:r>
      <w:r>
        <w:rPr>
          <w:lang w:val="ka-GE"/>
        </w:rPr>
        <w:fldChar w:fldCharType="separate"/>
      </w:r>
    </w:p>
    <w:tbl>
      <w:tblPr>
        <w:tblW w:w="102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893"/>
        <w:gridCol w:w="1439"/>
        <w:gridCol w:w="1371"/>
        <w:gridCol w:w="1357"/>
        <w:gridCol w:w="1030"/>
        <w:gridCol w:w="1030"/>
      </w:tblGrid>
      <w:tr w:rsidR="00E46C45" w:rsidRPr="00E46C45" w:rsidTr="00BE14E0">
        <w:trPr>
          <w:trHeight w:val="548"/>
          <w:tblHeader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1020" w:type="dxa"/>
            <w:shd w:val="clear" w:color="000000" w:fill="FFFFFF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31.03.2018 </w:t>
            </w:r>
          </w:p>
        </w:tc>
        <w:tc>
          <w:tcPr>
            <w:tcW w:w="876" w:type="dxa"/>
            <w:shd w:val="clear" w:color="000000" w:fill="FFFFFF"/>
            <w:vAlign w:val="bottom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E46C45" w:rsidRPr="00E46C45" w:rsidTr="00BE14E0">
        <w:trPr>
          <w:trHeight w:val="368"/>
          <w:jc w:val="center"/>
        </w:trPr>
        <w:tc>
          <w:tcPr>
            <w:tcW w:w="4177" w:type="dxa"/>
            <w:gridSpan w:val="2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სახელმწიფო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საგარეო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ვალი</w:t>
            </w:r>
            <w:proofErr w:type="spellEnd"/>
          </w:p>
        </w:tc>
        <w:tc>
          <w:tcPr>
            <w:tcW w:w="1439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5,298,278</w:t>
            </w:r>
          </w:p>
        </w:tc>
        <w:tc>
          <w:tcPr>
            <w:tcW w:w="1371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i/>
                <w:iCs/>
                <w:sz w:val="14"/>
                <w:szCs w:val="14"/>
              </w:rPr>
              <w:t>12,792,162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4177" w:type="dxa"/>
            <w:gridSpan w:val="2"/>
            <w:shd w:val="clear" w:color="000000" w:fill="BFBFB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მრავალმხრივი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1439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3,875,190</w:t>
            </w:r>
          </w:p>
        </w:tc>
        <w:tc>
          <w:tcPr>
            <w:tcW w:w="1371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9,356,259</w:t>
            </w:r>
          </w:p>
        </w:tc>
        <w:tc>
          <w:tcPr>
            <w:tcW w:w="1357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76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ასოციაცია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(WB - IDA)</w:t>
            </w:r>
          </w:p>
        </w:tc>
        <w:tc>
          <w:tcPr>
            <w:tcW w:w="692" w:type="dxa"/>
            <w:vMerge w:val="restart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883,179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2,132,348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0.125%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274,263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662,180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0.104%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9,953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24,031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2.15%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2.15%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auto" w:fill="auto"/>
            <w:vAlign w:val="center"/>
            <w:hideMark/>
          </w:tcPr>
          <w:p w:rsidR="00E46C45" w:rsidRPr="00E46C45" w:rsidRDefault="00BE14E0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BE14E0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რეკონსტრუქციის</w:t>
            </w:r>
            <w:proofErr w:type="spellEnd"/>
            <w:r w:rsidRPr="00BE14E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BE14E0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BE14E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BE14E0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BE14E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BE14E0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BE14E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BE14E0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BE14E0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="00E46C45" w:rsidRPr="00E46C45">
              <w:rPr>
                <w:rFonts w:ascii="Calibri" w:eastAsia="Times New Roman" w:hAnsi="Calibri" w:cs="Calibri"/>
                <w:sz w:val="14"/>
                <w:szCs w:val="14"/>
              </w:rPr>
              <w:t>(WB - IBRD)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113,161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273,215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Var. Spread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0.69%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32,336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78,071</w:t>
            </w:r>
          </w:p>
        </w:tc>
        <w:tc>
          <w:tcPr>
            <w:tcW w:w="1357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LIBOR + Variable Spread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2.11%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184,960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446,567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2.14%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0.075%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10,000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24,144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2.19%</w:t>
            </w:r>
          </w:p>
        </w:tc>
        <w:tc>
          <w:tcPr>
            <w:tcW w:w="876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44,009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106,254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2.23%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0.019%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15,871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38,319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2.28%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48,967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118,226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2.34%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0.022%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8,703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21,014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2.41%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109,535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264,461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2.42%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0.050%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2.47%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120,000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289,728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2.49%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0.056%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26,019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62,821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2.52%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0.012%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138,213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333,702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2.54%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0.066%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8,071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19,488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2.72%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სოფლის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მეურნეობის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(IFAD)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20,487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49,464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4,177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10,086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5,045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12,181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(SDR LIBOR + IBRD Variable Spread)/2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1.04%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სავალუტო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(IMF EFF,NBG)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87,232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210,613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SDR Rate of Charge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1.86%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0.031%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სავალუტო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(SBA )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94,501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228,164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SDR Rate of Charge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1.86%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0.033%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ევროგაერთიანება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r w:rsidRPr="00E46C4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(EU)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12,327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29,762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0.52%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0.52%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16,025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38,691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1.16%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1.16%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(EBRD)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136,377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329,268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EURIBOR+ 1%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0.77%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0.020%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auto" w:fill="auto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(ADB)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SDR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68,156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164,555</w:t>
            </w:r>
          </w:p>
        </w:tc>
        <w:tc>
          <w:tcPr>
            <w:tcW w:w="1357" w:type="dxa"/>
            <w:vMerge w:val="restart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Fix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398,507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962,156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1.50%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0.113%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50,047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120,834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1.60%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214,643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518,234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0.081%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24,520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59,201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Fixed Spread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6,784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16,379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Fixed Spread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0.45%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62,500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150,900</w:t>
            </w:r>
          </w:p>
        </w:tc>
        <w:tc>
          <w:tcPr>
            <w:tcW w:w="1357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LIBOR + Fixed Spread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1.71%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0.020%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50,000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120,720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1.91%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37,096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89,564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24,662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59,543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2.11%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5,949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14,362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2.15%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61,644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148,833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2.26%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0.026%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29,669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71,634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2.31%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38,424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92,772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2.46%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auto" w:fill="auto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(AIIB)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9,490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22,913</w:t>
            </w:r>
          </w:p>
        </w:tc>
        <w:tc>
          <w:tcPr>
            <w:tcW w:w="1357" w:type="dxa"/>
            <w:shd w:val="clear" w:color="000000" w:fill="FFFFFF"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LIBOR + Variable Spread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2.86%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საინვესტიციო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(EIB)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10,295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24,856</w:t>
            </w:r>
          </w:p>
        </w:tc>
        <w:tc>
          <w:tcPr>
            <w:tcW w:w="1357" w:type="dxa"/>
            <w:vMerge w:val="restart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Fix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0.86%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24,654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59,524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0.87%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12,327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29,762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1.65%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28,630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69,125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1.69%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24,654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59,524</w:t>
            </w:r>
          </w:p>
        </w:tc>
        <w:tc>
          <w:tcPr>
            <w:tcW w:w="1357" w:type="dxa"/>
            <w:vMerge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1.94%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98,615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238,096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EURIBOR+0.183%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24,654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59,524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EURIBOR+0.505%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0.23%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102,508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247,496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+ 0.75%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0.50%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4,314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10,417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EURIBOR+0.75%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0.53%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7,636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18,436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EURIBOR+0.81%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0.54%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47,680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115,119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+ 0.82%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0.55%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3,698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8,929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+ 0.858%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0.58%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BFBFB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ორმხრივი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692" w:type="dxa"/>
            <w:shd w:val="clear" w:color="000000" w:fill="BFBFB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920,948</w:t>
            </w:r>
          </w:p>
        </w:tc>
        <w:tc>
          <w:tcPr>
            <w:tcW w:w="1371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2,223,537</w:t>
            </w:r>
          </w:p>
        </w:tc>
        <w:tc>
          <w:tcPr>
            <w:tcW w:w="1357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76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ავსტრია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15,630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37,738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აზერბაიჯანი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8,495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20,511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თურქმენეთი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211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510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თურქეთი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16,281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39,310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ირანი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6,572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15,868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რუსეთი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68,159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164,563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0.051%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სომხეთი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9,710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23,443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უზბეკეთი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178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431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უკრაინა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163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393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ყაზახეთი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20,756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50,114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0.016%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lastRenderedPageBreak/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ჩინეთი</w:t>
            </w:r>
            <w:proofErr w:type="spellEnd"/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CNY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2,390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5,771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proofErr w:type="spellStart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KfW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145,092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350,309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0.021%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10,119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24,432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1.65%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1.65%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     584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1,409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1.90%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1.90%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40,678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98,212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31,255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75,463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2.20%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2.20%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11,415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27,560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4.20%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4.20%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0.009%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43,144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104,167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5.70%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5.70%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0.046%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15,690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37,881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6.68%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6.68%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0.020%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იაპონია</w:t>
            </w:r>
            <w:proofErr w:type="spellEnd"/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JPY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26,947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65,060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145,184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350,532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0.65%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0.65%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0.018%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1,867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4,509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1.30%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1.30%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24,208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58,447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1.40%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1.40%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0.006%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24,463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59,062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2.30%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2.30%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კუვეიტი</w:t>
            </w:r>
            <w:proofErr w:type="spellEnd"/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KWD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        19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      47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2.50%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2.50%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11,899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28,730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3.00%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0.007%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ნიდერლანდები</w:t>
            </w:r>
            <w:proofErr w:type="spellEnd"/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     179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   432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4.20%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4.20%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     915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2,210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5.10%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5.10%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0.001%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აშშ</w:t>
            </w:r>
            <w:proofErr w:type="spellEnd"/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     306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   739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1.50%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1.50%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8,530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20,595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2.00%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0.003%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5,733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13,841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2.25%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2.25%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0.002%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7,657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18,487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2.50%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2.50%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საფრანგეთი</w:t>
            </w:r>
            <w:proofErr w:type="spellEnd"/>
          </w:p>
        </w:tc>
        <w:tc>
          <w:tcPr>
            <w:tcW w:w="692" w:type="dxa"/>
            <w:vMerge w:val="restart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14,577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35,195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0.17%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0.17%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25,749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62,169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1.10%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1.10%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20,347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49,126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1.27%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1.27%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58,829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142,037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1.41%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1.41%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0.016%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73,961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178,572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+ 0.6%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0.27%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14,006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33,816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+ 1.8%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1.80%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0.005%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9,048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21,846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EURIBOR + 2.1%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2.10%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0.004%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BFBFB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ფასიანი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ქაღალდები</w:t>
            </w:r>
            <w:proofErr w:type="spellEnd"/>
          </w:p>
        </w:tc>
        <w:tc>
          <w:tcPr>
            <w:tcW w:w="692" w:type="dxa"/>
            <w:shd w:val="clear" w:color="000000" w:fill="BFBFB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         500,000 </w:t>
            </w:r>
          </w:p>
        </w:tc>
        <w:tc>
          <w:tcPr>
            <w:tcW w:w="1371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   1,207,200 </w:t>
            </w:r>
          </w:p>
        </w:tc>
        <w:tc>
          <w:tcPr>
            <w:tcW w:w="1357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ევროობლიგაცია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2021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USD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500,000 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1,207,200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6.875%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6.875%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0.649%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BFBFB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გარანტირებული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კრედიტები</w:t>
            </w:r>
            <w:proofErr w:type="spellEnd"/>
          </w:p>
        </w:tc>
        <w:tc>
          <w:tcPr>
            <w:tcW w:w="692" w:type="dxa"/>
            <w:shd w:val="clear" w:color="000000" w:fill="BFBFB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1439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               2,140 </w:t>
            </w:r>
          </w:p>
        </w:tc>
        <w:tc>
          <w:tcPr>
            <w:tcW w:w="1371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 xml:space="preserve">                         5,166 </w:t>
            </w:r>
          </w:p>
        </w:tc>
        <w:tc>
          <w:tcPr>
            <w:tcW w:w="1357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0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shd w:val="clear" w:color="000000" w:fill="BFBFB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3485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(</w:t>
            </w:r>
            <w:proofErr w:type="spellStart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KfW</w:t>
            </w:r>
            <w:proofErr w:type="spellEnd"/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)</w:t>
            </w:r>
          </w:p>
        </w:tc>
        <w:tc>
          <w:tcPr>
            <w:tcW w:w="692" w:type="dxa"/>
            <w:shd w:val="clear" w:color="000000" w:fill="FFFFFF"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EUR</w:t>
            </w:r>
          </w:p>
        </w:tc>
        <w:tc>
          <w:tcPr>
            <w:tcW w:w="1439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  2,140 </w:t>
            </w:r>
          </w:p>
        </w:tc>
        <w:tc>
          <w:tcPr>
            <w:tcW w:w="1371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 xml:space="preserve">                         5,166 </w:t>
            </w:r>
          </w:p>
        </w:tc>
        <w:tc>
          <w:tcPr>
            <w:tcW w:w="1357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0.75%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46C45" w:rsidRPr="00E46C45" w:rsidRDefault="00E46C45" w:rsidP="00BE1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0.000%</w:t>
            </w:r>
          </w:p>
        </w:tc>
      </w:tr>
      <w:tr w:rsidR="00E46C45" w:rsidRPr="00E46C45" w:rsidTr="00BE14E0">
        <w:trPr>
          <w:trHeight w:val="144"/>
          <w:jc w:val="center"/>
        </w:trPr>
        <w:tc>
          <w:tcPr>
            <w:tcW w:w="4177" w:type="dxa"/>
            <w:gridSpan w:val="2"/>
            <w:shd w:val="clear" w:color="000000" w:fill="FFFFFF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sz w:val="14"/>
                <w:szCs w:val="14"/>
              </w:rPr>
              <w:t> </w:t>
            </w:r>
          </w:p>
        </w:tc>
        <w:tc>
          <w:tcPr>
            <w:tcW w:w="5187" w:type="dxa"/>
            <w:gridSpan w:val="4"/>
            <w:shd w:val="clear" w:color="000000" w:fill="808080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color w:val="FFFFFF"/>
                <w:sz w:val="14"/>
                <w:szCs w:val="14"/>
              </w:rPr>
              <w:t>საშუალო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color w:val="FFFFFF"/>
                <w:sz w:val="14"/>
                <w:szCs w:val="14"/>
              </w:rPr>
              <w:t>შეწონილი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color w:val="FFFFFF"/>
                <w:sz w:val="14"/>
                <w:szCs w:val="14"/>
              </w:rPr>
              <w:t>საპროცენტო</w:t>
            </w:r>
            <w:proofErr w:type="spellEnd"/>
            <w:r w:rsidRPr="00E46C45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 xml:space="preserve"> </w:t>
            </w:r>
            <w:proofErr w:type="spellStart"/>
            <w:r w:rsidRPr="00E46C45">
              <w:rPr>
                <w:rFonts w:ascii="Sylfaen" w:eastAsia="Times New Roman" w:hAnsi="Sylfaen" w:cs="Sylfaen"/>
                <w:b/>
                <w:bCs/>
                <w:color w:val="FFFFFF"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876" w:type="dxa"/>
            <w:shd w:val="clear" w:color="000000" w:fill="808080"/>
            <w:noWrap/>
            <w:vAlign w:val="center"/>
            <w:hideMark/>
          </w:tcPr>
          <w:p w:rsidR="00E46C45" w:rsidRPr="00E46C45" w:rsidRDefault="00E46C45" w:rsidP="00E46C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E46C45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>2.03%</w:t>
            </w:r>
          </w:p>
        </w:tc>
      </w:tr>
    </w:tbl>
    <w:p w:rsidR="00071D1D" w:rsidRDefault="00E46C45" w:rsidP="00E46C45">
      <w:pPr>
        <w:tabs>
          <w:tab w:val="left" w:pos="360"/>
        </w:tabs>
        <w:spacing w:after="0"/>
        <w:jc w:val="center"/>
        <w:rPr>
          <w:rFonts w:ascii="Sylfaen" w:hAnsi="Sylfaen"/>
          <w:b/>
          <w:color w:val="0070C0"/>
          <w:lang w:val="ka-GE"/>
        </w:rPr>
      </w:pPr>
      <w:r>
        <w:rPr>
          <w:rFonts w:ascii="Sylfaen" w:hAnsi="Sylfaen"/>
          <w:b/>
          <w:color w:val="0070C0"/>
          <w:lang w:val="ka-GE"/>
        </w:rPr>
        <w:fldChar w:fldCharType="end"/>
      </w:r>
    </w:p>
    <w:p w:rsidR="00071D1D" w:rsidRPr="00CB57F7" w:rsidRDefault="00071D1D" w:rsidP="00B14B51">
      <w:pPr>
        <w:tabs>
          <w:tab w:val="left" w:pos="360"/>
        </w:tabs>
        <w:spacing w:after="0"/>
        <w:jc w:val="center"/>
        <w:rPr>
          <w:rFonts w:ascii="Sylfaen" w:hAnsi="Sylfaen"/>
          <w:b/>
          <w:color w:val="0070C0"/>
          <w:sz w:val="16"/>
          <w:szCs w:val="16"/>
          <w:lang w:val="ka-GE"/>
        </w:rPr>
      </w:pPr>
    </w:p>
    <w:p w:rsidR="00071D1D" w:rsidRDefault="00071D1D" w:rsidP="00B14B51">
      <w:pPr>
        <w:tabs>
          <w:tab w:val="left" w:pos="360"/>
        </w:tabs>
        <w:spacing w:after="0"/>
        <w:jc w:val="center"/>
        <w:rPr>
          <w:rFonts w:ascii="Sylfaen" w:hAnsi="Sylfaen"/>
          <w:b/>
          <w:color w:val="0070C0"/>
          <w:lang w:val="ka-GE"/>
        </w:rPr>
      </w:pPr>
    </w:p>
    <w:p w:rsidR="00B830F8" w:rsidRDefault="00B830F8" w:rsidP="00B830F8">
      <w:pPr>
        <w:tabs>
          <w:tab w:val="left" w:pos="720"/>
        </w:tabs>
        <w:spacing w:after="240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 w:rsidRPr="002D6086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F5720"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2D6086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Pr="002D6086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დაიხარჯა 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221</w:t>
      </w:r>
      <w:r w:rsidR="000F572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079</w:t>
      </w:r>
      <w:r w:rsidR="000F572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="000F5720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მათ შორის -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175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022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0F5720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ძირითადი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დაფარვას,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46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,</w:t>
      </w:r>
      <w:r w:rsidR="000F5720">
        <w:rPr>
          <w:rFonts w:ascii="Sylfaen" w:hAnsi="Sylfaen" w:cs="Sylfaen"/>
          <w:szCs w:val="21"/>
          <w:shd w:val="clear" w:color="auto" w:fill="FFFFFF"/>
          <w:lang w:val="ka-GE"/>
        </w:rPr>
        <w:t>057</w:t>
      </w:r>
      <w:r w:rsidR="00523560" w:rsidRPr="00071A4F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7188A">
        <w:rPr>
          <w:rFonts w:ascii="Sylfaen" w:hAnsi="Sylfaen" w:cs="Sylfaen"/>
          <w:szCs w:val="21"/>
          <w:shd w:val="clear" w:color="auto" w:fill="FFFFFF"/>
          <w:lang w:val="ka-GE"/>
        </w:rPr>
        <w:t xml:space="preserve">3 </w:t>
      </w:r>
      <w:r w:rsidR="000F5720"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პროცენტის</w:t>
      </w:r>
      <w:r w:rsidRPr="00071A4F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071A4F">
        <w:rPr>
          <w:rFonts w:ascii="Sylfaen" w:hAnsi="Sylfaen" w:cs="Sylfaen"/>
          <w:szCs w:val="21"/>
          <w:shd w:val="clear" w:color="auto" w:fill="FFFFFF"/>
          <w:lang w:val="ka-GE"/>
        </w:rPr>
        <w:t>თანხას.</w:t>
      </w:r>
    </w:p>
    <w:p w:rsidR="00A93CD1" w:rsidRDefault="00A93CD1" w:rsidP="00B830F8">
      <w:pPr>
        <w:tabs>
          <w:tab w:val="left" w:pos="720"/>
        </w:tabs>
        <w:spacing w:after="24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A93CD1" w:rsidRDefault="00A93CD1" w:rsidP="00B830F8">
      <w:pPr>
        <w:tabs>
          <w:tab w:val="left" w:pos="720"/>
        </w:tabs>
        <w:spacing w:after="24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A93CD1" w:rsidRPr="00A93CD1" w:rsidRDefault="00A93CD1" w:rsidP="00B830F8">
      <w:pPr>
        <w:tabs>
          <w:tab w:val="left" w:pos="720"/>
        </w:tabs>
        <w:spacing w:after="24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64753E" w:rsidRDefault="0064753E">
      <w:pPr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br w:type="page"/>
      </w:r>
    </w:p>
    <w:p w:rsidR="00065901" w:rsidRDefault="00FE7942" w:rsidP="00564C7D">
      <w:pPr>
        <w:tabs>
          <w:tab w:val="left" w:pos="720"/>
        </w:tabs>
        <w:spacing w:after="12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425B8C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სახელმწიფო საგარეო ვალდებულებების მომსახურება და დაფარვა</w:t>
      </w:r>
    </w:p>
    <w:p w:rsidR="004816BC" w:rsidRDefault="000F5720" w:rsidP="00564C7D">
      <w:pPr>
        <w:tabs>
          <w:tab w:val="left" w:pos="720"/>
        </w:tabs>
        <w:spacing w:after="120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504D30">
        <w:rPr>
          <w:rFonts w:ascii="Sylfaen" w:hAnsi="Sylfaen"/>
          <w:b/>
          <w:lang w:val="ka-GE"/>
        </w:rPr>
        <w:t>2018 წლის 31 მარტის</w:t>
      </w:r>
      <w:r w:rsidR="00262BF3">
        <w:rPr>
          <w:rFonts w:ascii="Sylfaen" w:hAnsi="Sylfaen" w:cs="Sylfaen"/>
          <w:b/>
          <w:szCs w:val="18"/>
          <w:shd w:val="clear" w:color="auto" w:fill="FFFFFF"/>
          <w:lang w:val="ka-GE"/>
        </w:rPr>
        <w:t>ათვის</w:t>
      </w:r>
    </w:p>
    <w:p w:rsidR="00C37E2F" w:rsidRDefault="00082B61" w:rsidP="001819E6">
      <w:pPr>
        <w:tabs>
          <w:tab w:val="left" w:pos="851"/>
        </w:tabs>
        <w:spacing w:after="120"/>
        <w:ind w:left="851"/>
        <w:jc w:val="center"/>
        <w:rPr>
          <w:rFonts w:ascii="Sylfaen" w:hAnsi="Sylfaen" w:cs="Sylfaen"/>
          <w:sz w:val="18"/>
          <w:szCs w:val="18"/>
          <w:shd w:val="clear" w:color="auto" w:fill="FFFFFF"/>
          <w:lang w:val="ka-GE"/>
        </w:rPr>
      </w:pPr>
      <w:r w:rsidRPr="00082B61"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 xml:space="preserve">                                                                            </w:t>
      </w:r>
      <w:r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 xml:space="preserve">                      </w:t>
      </w:r>
      <w:r w:rsidR="001819E6"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 xml:space="preserve">    </w:t>
      </w:r>
      <w:r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 xml:space="preserve">  </w:t>
      </w:r>
      <w:r w:rsidR="001800B6"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 xml:space="preserve"> </w:t>
      </w:r>
      <w:r w:rsidRPr="00082B61"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>ათას</w:t>
      </w:r>
      <w:r w:rsidR="001800B6"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>ი</w:t>
      </w:r>
      <w:r w:rsidRPr="00082B61">
        <w:rPr>
          <w:rFonts w:ascii="Sylfaen" w:hAnsi="Sylfaen" w:cs="Sylfaen"/>
          <w:b/>
          <w:i/>
          <w:color w:val="C00000"/>
          <w:sz w:val="20"/>
          <w:szCs w:val="20"/>
          <w:shd w:val="clear" w:color="auto" w:fill="FFFFFF"/>
          <w:lang w:val="ka-GE"/>
        </w:rPr>
        <w:t xml:space="preserve"> ლარი</w:t>
      </w:r>
      <w:r w:rsidR="00564C7D">
        <w:rPr>
          <w:rFonts w:ascii="Sylfaen" w:hAnsi="Sylfaen" w:cs="Sylfaen"/>
          <w:sz w:val="18"/>
          <w:szCs w:val="18"/>
          <w:shd w:val="clear" w:color="auto" w:fill="FFFFFF"/>
          <w:lang w:val="ka-GE"/>
        </w:rPr>
        <w:t xml:space="preserve">     </w:t>
      </w:r>
      <w:bookmarkStart w:id="0" w:name="_GoBack"/>
      <w:r w:rsidR="001819E6" w:rsidRPr="001819E6">
        <w:rPr>
          <w:noProof/>
        </w:rPr>
        <w:drawing>
          <wp:inline distT="0" distB="0" distL="0" distR="0" wp14:anchorId="57354890" wp14:editId="322DAE48">
            <wp:extent cx="4810125" cy="5981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64C7D">
        <w:rPr>
          <w:rFonts w:ascii="Sylfaen" w:hAnsi="Sylfaen" w:cs="Sylfaen"/>
          <w:sz w:val="18"/>
          <w:szCs w:val="18"/>
          <w:shd w:val="clear" w:color="auto" w:fill="FFFFFF"/>
          <w:lang w:val="ka-GE"/>
        </w:rPr>
        <w:t xml:space="preserve">     </w:t>
      </w:r>
      <w:r w:rsidR="00564C7D"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 w:rsidR="00564C7D"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 w:rsidR="00564C7D"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 w:rsidR="00564C7D"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 w:rsidR="00564C7D"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  <w:r w:rsidR="00564C7D">
        <w:rPr>
          <w:rFonts w:ascii="Sylfaen" w:hAnsi="Sylfaen" w:cs="Sylfaen"/>
          <w:sz w:val="18"/>
          <w:szCs w:val="18"/>
          <w:shd w:val="clear" w:color="auto" w:fill="FFFFFF"/>
          <w:lang w:val="ka-GE"/>
        </w:rPr>
        <w:tab/>
      </w:r>
    </w:p>
    <w:p w:rsidR="00BF4EC7" w:rsidRDefault="00567ACE" w:rsidP="004D26F9">
      <w:pPr>
        <w:tabs>
          <w:tab w:val="left" w:pos="720"/>
        </w:tabs>
        <w:spacing w:after="0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</w:rPr>
        <w:tab/>
      </w:r>
      <w:r w:rsidRPr="00871B7C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 ფინანსთა სამინისტრომ განახორციელა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15303">
        <w:rPr>
          <w:rFonts w:ascii="Sylfaen" w:hAnsi="Sylfaen" w:cs="Sylfaen"/>
          <w:szCs w:val="21"/>
          <w:shd w:val="clear" w:color="auto" w:fill="FFFFFF"/>
        </w:rPr>
        <w:t>6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>12 თვიანი სახაზინო ვალდებულებების და 2, 5 და 10 წლიანი სახაზინო ობლიგაციების ემისია. 201</w:t>
      </w:r>
      <w:r w:rsidR="0044178B">
        <w:rPr>
          <w:rFonts w:ascii="Sylfaen" w:hAnsi="Sylfaen" w:cs="Sylfaen"/>
          <w:szCs w:val="21"/>
          <w:shd w:val="clear" w:color="auto" w:fill="FFFFFF"/>
        </w:rPr>
        <w:t>8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D651F7">
        <w:rPr>
          <w:rFonts w:ascii="Sylfaen" w:hAnsi="Sylfaen" w:cs="Sylfaen"/>
          <w:szCs w:val="21"/>
          <w:shd w:val="clear" w:color="auto" w:fill="FFFFFF"/>
        </w:rPr>
        <w:t>31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4178B">
        <w:rPr>
          <w:rFonts w:ascii="Sylfaen" w:hAnsi="Sylfaen" w:cs="Sylfaen"/>
          <w:szCs w:val="21"/>
          <w:shd w:val="clear" w:color="auto" w:fill="FFFFFF"/>
          <w:lang w:val="ka-GE"/>
        </w:rPr>
        <w:t>მარტ</w:t>
      </w:r>
      <w:r w:rsidR="00D651F7">
        <w:rPr>
          <w:rFonts w:ascii="Sylfaen" w:hAnsi="Sylfaen" w:cs="Sylfaen"/>
          <w:szCs w:val="21"/>
          <w:shd w:val="clear" w:color="auto" w:fill="FFFFFF"/>
          <w:lang w:val="ka-GE"/>
        </w:rPr>
        <w:t>ის</w:t>
      </w:r>
      <w:r w:rsidR="00015303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6 თვიანზე 7.</w:t>
      </w:r>
      <w:r w:rsidR="0044178B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7.</w:t>
      </w:r>
      <w:r w:rsidR="0044178B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3B15C3">
        <w:rPr>
          <w:rFonts w:ascii="Sylfaen" w:hAnsi="Sylfaen" w:cs="Sylfaen"/>
          <w:szCs w:val="21"/>
          <w:shd w:val="clear" w:color="auto" w:fill="FFFFFF"/>
          <w:lang w:val="ka-GE"/>
        </w:rPr>
        <w:t>7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4178B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4464CC">
        <w:rPr>
          <w:rFonts w:ascii="Sylfaen" w:hAnsi="Sylfaen" w:cs="Sylfaen"/>
          <w:szCs w:val="21"/>
          <w:shd w:val="clear" w:color="auto" w:fill="FFFFFF"/>
        </w:rPr>
        <w:t>7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4178B">
        <w:rPr>
          <w:rFonts w:ascii="Sylfaen" w:hAnsi="Sylfaen" w:cs="Sylfaen"/>
          <w:szCs w:val="21"/>
          <w:shd w:val="clear" w:color="auto" w:fill="FFFFFF"/>
          <w:lang w:val="ka-GE"/>
        </w:rPr>
        <w:t>8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4464CC">
        <w:rPr>
          <w:rFonts w:ascii="Sylfaen" w:hAnsi="Sylfaen" w:cs="Sylfaen"/>
          <w:szCs w:val="21"/>
          <w:shd w:val="clear" w:color="auto" w:fill="FFFFFF"/>
        </w:rPr>
        <w:t>9</w:t>
      </w:r>
      <w:r w:rsidR="00015303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4178B">
        <w:rPr>
          <w:rFonts w:ascii="Sylfaen" w:hAnsi="Sylfaen" w:cs="Sylfaen"/>
          <w:szCs w:val="21"/>
          <w:shd w:val="clear" w:color="auto" w:fill="FFFFFF"/>
          <w:lang w:val="ka-GE"/>
        </w:rPr>
        <w:t>4</w:t>
      </w:r>
      <w:r w:rsidRPr="00042DF5">
        <w:rPr>
          <w:rFonts w:ascii="Sylfaen" w:hAnsi="Sylfaen" w:cs="Sylfaen"/>
          <w:szCs w:val="21"/>
          <w:shd w:val="clear" w:color="auto" w:fill="FFFFFF"/>
        </w:rPr>
        <w:t>%</w:t>
      </w:r>
      <w:r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567ACE" w:rsidRDefault="00567ACE" w:rsidP="00567ACE">
      <w:pPr>
        <w:tabs>
          <w:tab w:val="left" w:pos="288"/>
        </w:tabs>
        <w:autoSpaceDE w:val="0"/>
        <w:autoSpaceDN w:val="0"/>
        <w:adjustRightInd w:val="0"/>
        <w:spacing w:after="0"/>
        <w:ind w:firstLine="810"/>
        <w:jc w:val="both"/>
        <w:rPr>
          <w:rFonts w:ascii="Sylfaen" w:hAnsi="Sylfaen" w:cs="Sylfaen"/>
          <w:shd w:val="clear" w:color="auto" w:fill="FFFFFF"/>
          <w:lang w:val="ka-GE"/>
        </w:rPr>
      </w:pPr>
      <w:r w:rsidRPr="00641795">
        <w:rPr>
          <w:rFonts w:ascii="Sylfaen" w:hAnsi="Sylfaen" w:cs="Sylfaen"/>
          <w:shd w:val="clear" w:color="auto" w:fill="FFFFFF"/>
          <w:lang w:val="ka-GE"/>
        </w:rPr>
        <w:t>სახელმწიფო ფასიანი ქაღალდების გამოშვების შედეგად საშინაო ვალის ნაშთმა 201</w:t>
      </w:r>
      <w:r w:rsidR="0044178B">
        <w:rPr>
          <w:rFonts w:ascii="Sylfaen" w:hAnsi="Sylfaen" w:cs="Sylfaen"/>
          <w:shd w:val="clear" w:color="auto" w:fill="FFFFFF"/>
          <w:lang w:val="ka-GE"/>
        </w:rPr>
        <w:t>8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D651F7">
        <w:rPr>
          <w:rFonts w:ascii="Sylfaen" w:hAnsi="Sylfaen" w:cs="Sylfaen"/>
          <w:shd w:val="clear" w:color="auto" w:fill="FFFFFF"/>
          <w:lang w:val="ka-GE"/>
        </w:rPr>
        <w:t>31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44178B">
        <w:rPr>
          <w:rFonts w:ascii="Sylfaen" w:hAnsi="Sylfaen" w:cs="Sylfaen"/>
          <w:shd w:val="clear" w:color="auto" w:fill="FFFFFF"/>
          <w:lang w:val="ka-GE"/>
        </w:rPr>
        <w:t>მარტის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შეადგენ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44178B" w:rsidRPr="0044178B">
        <w:rPr>
          <w:rFonts w:ascii="Sylfaen" w:hAnsi="Sylfaen" w:cs="Sylfaen"/>
          <w:shd w:val="clear" w:color="auto" w:fill="FFFFFF"/>
          <w:lang w:val="ka-GE"/>
        </w:rPr>
        <w:t>2</w:t>
      </w:r>
      <w:r w:rsidR="0044178B">
        <w:rPr>
          <w:rFonts w:ascii="Sylfaen" w:hAnsi="Sylfaen" w:cs="Sylfaen"/>
          <w:shd w:val="clear" w:color="auto" w:fill="FFFFFF"/>
          <w:lang w:val="ka-GE"/>
        </w:rPr>
        <w:t>,</w:t>
      </w:r>
      <w:r w:rsidR="0044178B" w:rsidRPr="0044178B">
        <w:rPr>
          <w:rFonts w:ascii="Sylfaen" w:hAnsi="Sylfaen" w:cs="Sylfaen"/>
          <w:shd w:val="clear" w:color="auto" w:fill="FFFFFF"/>
          <w:lang w:val="ka-GE"/>
        </w:rPr>
        <w:t>850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.6 </w:t>
      </w:r>
      <w:r w:rsidRPr="00641795">
        <w:rPr>
          <w:rFonts w:ascii="Sylfaen" w:hAnsi="Sylfaen" w:cs="Sylfaen"/>
          <w:shd w:val="clear" w:color="auto" w:fill="FFFFFF"/>
          <w:lang w:val="ka-GE"/>
        </w:rPr>
        <w:t>მილიონ</w:t>
      </w:r>
      <w:r w:rsidR="003B15C3">
        <w:rPr>
          <w:rFonts w:ascii="Sylfaen" w:hAnsi="Sylfaen" w:cs="Sylfaen"/>
          <w:shd w:val="clear" w:color="auto" w:fill="FFFFFF"/>
          <w:lang w:val="ka-GE"/>
        </w:rPr>
        <w:t>ი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 ლარი (სახელმწიფო ფასიანი ქაღალდების დაუფარავი მოცულობა ნომინალებში - </w:t>
      </w:r>
      <w:r w:rsidR="0044178B" w:rsidRPr="0044178B">
        <w:rPr>
          <w:rFonts w:ascii="Sylfaen" w:hAnsi="Sylfaen" w:cs="Sylfaen"/>
          <w:shd w:val="clear" w:color="auto" w:fill="FFFFFF"/>
          <w:lang w:val="ka-GE"/>
        </w:rPr>
        <w:t>2</w:t>
      </w:r>
      <w:r w:rsidR="0044178B">
        <w:rPr>
          <w:rFonts w:ascii="Sylfaen" w:hAnsi="Sylfaen" w:cs="Sylfaen"/>
          <w:shd w:val="clear" w:color="auto" w:fill="FFFFFF"/>
          <w:lang w:val="ka-GE"/>
        </w:rPr>
        <w:t>,</w:t>
      </w:r>
      <w:r w:rsidR="0044178B" w:rsidRPr="0044178B">
        <w:rPr>
          <w:rFonts w:ascii="Sylfaen" w:hAnsi="Sylfaen" w:cs="Sylfaen"/>
          <w:shd w:val="clear" w:color="auto" w:fill="FFFFFF"/>
          <w:lang w:val="ka-GE"/>
        </w:rPr>
        <w:t>881</w:t>
      </w:r>
      <w:r w:rsidR="0044178B">
        <w:rPr>
          <w:rFonts w:ascii="Sylfaen" w:hAnsi="Sylfaen" w:cs="Sylfaen"/>
          <w:shd w:val="clear" w:color="auto" w:fill="FFFFFF"/>
          <w:lang w:val="ka-GE"/>
        </w:rPr>
        <w:t xml:space="preserve">.9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მლნ ლარი), აქედან </w:t>
      </w:r>
      <w:r w:rsidR="004464CC" w:rsidRPr="004464CC">
        <w:rPr>
          <w:rFonts w:ascii="Sylfaen" w:hAnsi="Sylfaen" w:cs="Sylfaen"/>
          <w:shd w:val="clear" w:color="auto" w:fill="FFFFFF"/>
          <w:lang w:val="ka-GE"/>
        </w:rPr>
        <w:t>2</w:t>
      </w:r>
      <w:r w:rsidR="004464CC">
        <w:rPr>
          <w:rFonts w:ascii="Sylfaen" w:hAnsi="Sylfaen" w:cs="Sylfaen"/>
          <w:shd w:val="clear" w:color="auto" w:fill="FFFFFF"/>
          <w:lang w:val="ka-GE"/>
        </w:rPr>
        <w:t>,</w:t>
      </w:r>
      <w:r w:rsidR="0044178B">
        <w:rPr>
          <w:rFonts w:ascii="Sylfaen" w:hAnsi="Sylfaen" w:cs="Sylfaen"/>
          <w:shd w:val="clear" w:color="auto" w:fill="FFFFFF"/>
          <w:lang w:val="ka-GE"/>
        </w:rPr>
        <w:t>387</w:t>
      </w:r>
      <w:r w:rsidR="004464CC">
        <w:rPr>
          <w:rFonts w:ascii="Sylfaen" w:hAnsi="Sylfaen" w:cs="Sylfaen"/>
          <w:shd w:val="clear" w:color="auto" w:fill="FFFFFF"/>
          <w:lang w:val="ka-GE"/>
        </w:rPr>
        <w:t>.</w:t>
      </w:r>
      <w:r w:rsidR="0044178B">
        <w:rPr>
          <w:rFonts w:ascii="Sylfaen" w:hAnsi="Sylfaen" w:cs="Sylfaen"/>
          <w:shd w:val="clear" w:color="auto" w:fill="FFFFFF"/>
          <w:lang w:val="ka-GE"/>
        </w:rPr>
        <w:t>7</w:t>
      </w:r>
      <w:r w:rsidR="004464CC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 xml:space="preserve">მილიონი ლარი წარმოადგენს ნაშთს სახაზინო ვალდებულებების და ობლიგაციების ნაწილში, ხოლო 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4</w:t>
      </w:r>
      <w:r w:rsidR="00D651F7">
        <w:rPr>
          <w:rFonts w:ascii="Sylfaen" w:hAnsi="Sylfaen" w:cs="Sylfaen"/>
          <w:shd w:val="clear" w:color="auto" w:fill="FFFFFF"/>
          <w:lang w:val="ka-GE"/>
        </w:rPr>
        <w:t>6</w:t>
      </w:r>
      <w:r w:rsidR="0044178B">
        <w:rPr>
          <w:rFonts w:ascii="Sylfaen" w:hAnsi="Sylfaen" w:cs="Sylfaen"/>
          <w:shd w:val="clear" w:color="auto" w:fill="FFFFFF"/>
          <w:lang w:val="ka-GE"/>
        </w:rPr>
        <w:t>2</w:t>
      </w:r>
      <w:r w:rsidR="00576720">
        <w:rPr>
          <w:rFonts w:ascii="Sylfaen" w:hAnsi="Sylfaen" w:cs="Sylfaen"/>
          <w:shd w:val="clear" w:color="auto" w:fill="FFFFFF"/>
          <w:lang w:val="ka-GE"/>
        </w:rPr>
        <w:t>.</w:t>
      </w:r>
      <w:r w:rsidR="00576720" w:rsidRPr="00576720">
        <w:rPr>
          <w:rFonts w:ascii="Sylfaen" w:hAnsi="Sylfaen" w:cs="Sylfaen"/>
          <w:shd w:val="clear" w:color="auto" w:fill="FFFFFF"/>
          <w:lang w:val="ka-GE"/>
        </w:rPr>
        <w:t>8</w:t>
      </w:r>
      <w:r w:rsidR="00576720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Pr="00641795">
        <w:rPr>
          <w:rFonts w:ascii="Sylfaen" w:hAnsi="Sylfaen" w:cs="Sylfaen"/>
          <w:shd w:val="clear" w:color="auto" w:fill="FFFFFF"/>
          <w:lang w:val="ka-GE"/>
        </w:rPr>
        <w:t>მილიონი ლარი - „სახელმწიფო ობლიგაციები სებ-სთვის და ღია ბაზრის ოპერაციებისათვის“ ნაწილში.</w:t>
      </w:r>
    </w:p>
    <w:p w:rsidR="00F26066" w:rsidRPr="00C367E2" w:rsidRDefault="00F26066" w:rsidP="001800B6">
      <w:pPr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 xml:space="preserve">სახელმწიფო  ფასიანი ქაღალდების დაუფარავი მოცულობა ნომინალებში ვადის და ტიპის მიხედვით 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44178B">
        <w:rPr>
          <w:rFonts w:ascii="Sylfaen" w:hAnsi="Sylfaen" w:cs="Sylfaen"/>
          <w:b/>
          <w:szCs w:val="18"/>
          <w:shd w:val="clear" w:color="auto" w:fill="FFFFFF"/>
          <w:lang w:val="ka-GE"/>
        </w:rPr>
        <w:t>8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D651F7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567ACE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4178B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44178B"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26066" w:rsidRPr="00C367E2" w:rsidRDefault="00F26066" w:rsidP="00F2606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sz w:val="14"/>
          <w:szCs w:val="14"/>
          <w:shd w:val="clear" w:color="auto" w:fill="FFFFFF"/>
        </w:rPr>
      </w:pPr>
    </w:p>
    <w:p w:rsidR="00F26066" w:rsidRPr="00C367E2" w:rsidRDefault="00F26066" w:rsidP="004464CC">
      <w:pPr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Sylfaen" w:hAnsi="Sylfaen" w:cs="Sylfaen"/>
          <w:b/>
          <w:i/>
          <w:sz w:val="20"/>
          <w:szCs w:val="18"/>
          <w:shd w:val="clear" w:color="auto" w:fill="FFFFFF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C367E2">
        <w:rPr>
          <w:rFonts w:ascii="Sylfaen" w:hAnsi="Sylfaen" w:cs="Sylfaen"/>
          <w:b/>
          <w:i/>
          <w:sz w:val="20"/>
          <w:szCs w:val="18"/>
          <w:shd w:val="clear" w:color="auto" w:fill="FFFFFF"/>
          <w:lang w:val="ka-GE"/>
        </w:rPr>
        <w:t>ათასი ლარი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4"/>
        <w:gridCol w:w="2788"/>
      </w:tblGrid>
      <w:tr w:rsidR="0044178B" w:rsidRPr="00C367E2" w:rsidTr="00054AB0">
        <w:trPr>
          <w:trHeight w:val="638"/>
        </w:trPr>
        <w:tc>
          <w:tcPr>
            <w:tcW w:w="3539" w:type="pct"/>
            <w:vAlign w:val="center"/>
            <w:hideMark/>
          </w:tcPr>
          <w:p w:rsidR="0044178B" w:rsidRPr="00C367E2" w:rsidRDefault="0044178B" w:rsidP="0044178B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  <w:lang w:val="ka-GE"/>
              </w:rPr>
            </w:pPr>
            <w:r w:rsidRPr="00C367E2">
              <w:rPr>
                <w:rFonts w:ascii="Sylfaen" w:eastAsia="Times New Roman" w:hAnsi="Sylfaen" w:cs="Arial"/>
                <w:b/>
                <w:bCs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hideMark/>
          </w:tcPr>
          <w:p w:rsidR="0044178B" w:rsidRPr="0044178B" w:rsidRDefault="0044178B" w:rsidP="0016041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44178B" w:rsidRPr="0044178B" w:rsidRDefault="0044178B" w:rsidP="00160413">
            <w:pPr>
              <w:jc w:val="center"/>
              <w:rPr>
                <w:rFonts w:ascii="Sylfaen" w:hAnsi="Sylfaen" w:cs="Tahoma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44178B">
              <w:rPr>
                <w:b/>
              </w:rPr>
              <w:t>2,881,868.0</w:t>
            </w:r>
          </w:p>
        </w:tc>
      </w:tr>
      <w:tr w:rsidR="0044178B" w:rsidRPr="00C367E2" w:rsidTr="00054AB0">
        <w:trPr>
          <w:trHeight w:val="300"/>
        </w:trPr>
        <w:tc>
          <w:tcPr>
            <w:tcW w:w="3539" w:type="pct"/>
            <w:hideMark/>
          </w:tcPr>
          <w:p w:rsidR="0044178B" w:rsidRPr="00C367E2" w:rsidRDefault="0044178B" w:rsidP="00054AB0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hideMark/>
          </w:tcPr>
          <w:p w:rsidR="0044178B" w:rsidRPr="0044178B" w:rsidRDefault="0044178B" w:rsidP="0016041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  <w:lang w:val="ka-GE"/>
              </w:rPr>
            </w:pPr>
            <w:r w:rsidRPr="0044178B">
              <w:rPr>
                <w:b/>
              </w:rPr>
              <w:t>2,419,022.0</w:t>
            </w:r>
          </w:p>
        </w:tc>
      </w:tr>
      <w:tr w:rsidR="0044178B" w:rsidRPr="00C367E2" w:rsidTr="00054AB0">
        <w:trPr>
          <w:trHeight w:val="276"/>
        </w:trPr>
        <w:tc>
          <w:tcPr>
            <w:tcW w:w="3539" w:type="pct"/>
            <w:noWrap/>
          </w:tcPr>
          <w:p w:rsidR="0044178B" w:rsidRPr="00C367E2" w:rsidRDefault="0044178B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ka-GE"/>
              </w:rPr>
              <w:t>6</w:t>
            </w: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</w:tcPr>
          <w:p w:rsidR="0044178B" w:rsidRDefault="0044178B" w:rsidP="0016041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120,000.0</w:t>
            </w:r>
          </w:p>
        </w:tc>
      </w:tr>
      <w:tr w:rsidR="0044178B" w:rsidRPr="00C367E2" w:rsidTr="00054AB0">
        <w:trPr>
          <w:trHeight w:val="276"/>
        </w:trPr>
        <w:tc>
          <w:tcPr>
            <w:tcW w:w="3539" w:type="pct"/>
            <w:noWrap/>
            <w:hideMark/>
          </w:tcPr>
          <w:p w:rsidR="0044178B" w:rsidRPr="00C367E2" w:rsidRDefault="0044178B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12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თვის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  <w:hideMark/>
          </w:tcPr>
          <w:p w:rsidR="0044178B" w:rsidRDefault="0044178B" w:rsidP="0016041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535,000.0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2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hideMark/>
          </w:tcPr>
          <w:p w:rsidR="0044178B" w:rsidRDefault="0044178B" w:rsidP="0016041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663,000.0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5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461" w:type="pct"/>
            <w:hideMark/>
          </w:tcPr>
          <w:p w:rsidR="0044178B" w:rsidRDefault="0044178B" w:rsidP="0016041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823,502.0</w:t>
            </w:r>
          </w:p>
        </w:tc>
      </w:tr>
      <w:tr w:rsidR="0044178B" w:rsidRPr="00C367E2" w:rsidTr="00054AB0">
        <w:trPr>
          <w:trHeight w:val="223"/>
        </w:trPr>
        <w:tc>
          <w:tcPr>
            <w:tcW w:w="3539" w:type="pct"/>
            <w:noWrap/>
            <w:hideMark/>
          </w:tcPr>
          <w:p w:rsidR="0044178B" w:rsidRPr="00C367E2" w:rsidRDefault="0044178B" w:rsidP="00054AB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10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წლის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ვადიანობის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სახაზინო</w:t>
            </w:r>
            <w:proofErr w:type="spellEnd"/>
            <w:r w:rsidRPr="00C367E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Calibri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461" w:type="pct"/>
            <w:hideMark/>
          </w:tcPr>
          <w:p w:rsidR="0044178B" w:rsidRDefault="0044178B" w:rsidP="0016041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277,520.0</w:t>
            </w:r>
          </w:p>
        </w:tc>
      </w:tr>
      <w:tr w:rsidR="0044178B" w:rsidRPr="00C367E2" w:rsidTr="00746294">
        <w:trPr>
          <w:trHeight w:val="297"/>
        </w:trPr>
        <w:tc>
          <w:tcPr>
            <w:tcW w:w="3539" w:type="pct"/>
            <w:hideMark/>
          </w:tcPr>
          <w:p w:rsidR="0044178B" w:rsidRPr="00C367E2" w:rsidRDefault="0044178B" w:rsidP="00054AB0">
            <w:pPr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</w:pP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სხვა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სახელმწიფო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</w:tcPr>
          <w:p w:rsidR="0044178B" w:rsidRPr="0044178B" w:rsidRDefault="0044178B" w:rsidP="00160413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4178B">
              <w:rPr>
                <w:b/>
              </w:rPr>
              <w:t>462,846.0</w:t>
            </w:r>
          </w:p>
        </w:tc>
      </w:tr>
      <w:tr w:rsidR="0044178B" w:rsidRPr="00C367E2" w:rsidTr="00054AB0">
        <w:trPr>
          <w:trHeight w:val="245"/>
        </w:trPr>
        <w:tc>
          <w:tcPr>
            <w:tcW w:w="3539" w:type="pct"/>
            <w:hideMark/>
          </w:tcPr>
          <w:p w:rsidR="0044178B" w:rsidRPr="00C367E2" w:rsidRDefault="0044178B" w:rsidP="00054AB0">
            <w:pPr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სახელმწიფო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ობლიგაცია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სებ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-</w:t>
            </w:r>
            <w:r w:rsidRPr="00C367E2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ს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თვის</w:t>
            </w:r>
            <w:proofErr w:type="spellEnd"/>
          </w:p>
        </w:tc>
        <w:tc>
          <w:tcPr>
            <w:tcW w:w="1461" w:type="pct"/>
            <w:hideMark/>
          </w:tcPr>
          <w:p w:rsidR="0044178B" w:rsidRDefault="0044178B" w:rsidP="0016041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280,846.0</w:t>
            </w:r>
          </w:p>
        </w:tc>
      </w:tr>
      <w:tr w:rsidR="0044178B" w:rsidRPr="00C367E2" w:rsidTr="00054AB0">
        <w:trPr>
          <w:trHeight w:val="245"/>
        </w:trPr>
        <w:tc>
          <w:tcPr>
            <w:tcW w:w="3539" w:type="pct"/>
            <w:hideMark/>
          </w:tcPr>
          <w:p w:rsidR="0044178B" w:rsidRPr="00C367E2" w:rsidRDefault="0044178B" w:rsidP="00054AB0">
            <w:pPr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სახელმწიფო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ობლიგაციები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ღია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ბაზრის</w:t>
            </w:r>
            <w:proofErr w:type="spellEnd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C367E2">
              <w:rPr>
                <w:rFonts w:ascii="Sylfaen" w:eastAsia="Times New Roman" w:hAnsi="Sylfaen" w:cs="Arial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461" w:type="pct"/>
            <w:hideMark/>
          </w:tcPr>
          <w:p w:rsidR="0044178B" w:rsidRDefault="0044178B" w:rsidP="0016041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16D7">
              <w:t>182,000.0</w:t>
            </w:r>
          </w:p>
        </w:tc>
      </w:tr>
    </w:tbl>
    <w:p w:rsidR="00F26066" w:rsidRPr="00C367E2" w:rsidRDefault="00F26066" w:rsidP="00F26066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green"/>
          <w:shd w:val="clear" w:color="auto" w:fill="FFFFFF"/>
        </w:rPr>
      </w:pPr>
    </w:p>
    <w:p w:rsidR="00EC701B" w:rsidRPr="00C367E2" w:rsidRDefault="00EC701B" w:rsidP="00AE3BBE">
      <w:pPr>
        <w:tabs>
          <w:tab w:val="left" w:pos="720"/>
        </w:tabs>
        <w:spacing w:after="0"/>
        <w:jc w:val="both"/>
        <w:rPr>
          <w:rFonts w:ascii="Sylfaen" w:hAnsi="Sylfaen" w:cs="Sylfaen"/>
          <w:lang w:val="ka-GE"/>
        </w:rPr>
      </w:pPr>
    </w:p>
    <w:p w:rsidR="00D57A95" w:rsidRDefault="00D57A95" w:rsidP="00F2606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lang w:val="ka-GE"/>
        </w:rPr>
      </w:pPr>
    </w:p>
    <w:p w:rsidR="005E0A52" w:rsidRPr="004464CC" w:rsidRDefault="00F26066" w:rsidP="00F2606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201</w:t>
      </w:r>
      <w:r w:rsidR="0044178B">
        <w:rPr>
          <w:rFonts w:ascii="Sylfaen" w:hAnsi="Sylfaen" w:cs="Sylfaen"/>
          <w:lang w:val="ka-GE"/>
        </w:rPr>
        <w:t>8</w:t>
      </w:r>
      <w:r w:rsidRPr="004464CC">
        <w:rPr>
          <w:rFonts w:ascii="Sylfaen" w:hAnsi="Sylfaen" w:cs="Sylfaen"/>
          <w:lang w:val="ka-GE"/>
        </w:rPr>
        <w:t xml:space="preserve"> წლის </w:t>
      </w:r>
      <w:r w:rsidR="00D651F7">
        <w:rPr>
          <w:rFonts w:ascii="Sylfaen" w:hAnsi="Sylfaen" w:cs="Sylfaen"/>
          <w:lang w:val="ka-GE"/>
        </w:rPr>
        <w:t>31</w:t>
      </w:r>
      <w:r w:rsidR="004033E5" w:rsidRPr="004464CC">
        <w:rPr>
          <w:rFonts w:ascii="Sylfaen" w:hAnsi="Sylfaen" w:cs="Sylfaen"/>
          <w:lang w:val="ka-GE"/>
        </w:rPr>
        <w:t xml:space="preserve"> </w:t>
      </w:r>
      <w:r w:rsidR="0044178B">
        <w:rPr>
          <w:rFonts w:ascii="Sylfaen" w:hAnsi="Sylfaen" w:cs="Sylfaen"/>
          <w:lang w:val="ka-GE"/>
        </w:rPr>
        <w:t>მარტის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 xml:space="preserve">მდგომარეობით, </w:t>
      </w:r>
      <w:r w:rsidR="005E0A52" w:rsidRPr="004464CC">
        <w:rPr>
          <w:rFonts w:ascii="Sylfaen" w:hAnsi="Sylfaen" w:cs="Sylfaen"/>
          <w:lang w:val="ka-GE"/>
        </w:rPr>
        <w:t xml:space="preserve">სახაზინო ვალდებულებების და სახაზინო ობლიგაციების გამოშვების შედეგად ბიუჯეტში შემოსულმა თანხამ შეადგინა </w:t>
      </w:r>
      <w:r w:rsidR="0044178B" w:rsidRPr="0044178B">
        <w:rPr>
          <w:rFonts w:ascii="Sylfaen" w:hAnsi="Sylfaen" w:cs="Sylfaen"/>
          <w:lang w:val="ka-GE"/>
        </w:rPr>
        <w:t>406</w:t>
      </w:r>
      <w:r w:rsidR="0044178B">
        <w:rPr>
          <w:rFonts w:ascii="Sylfaen" w:hAnsi="Sylfaen" w:cs="Sylfaen"/>
          <w:lang w:val="ka-GE"/>
        </w:rPr>
        <w:t>,</w:t>
      </w:r>
      <w:r w:rsidR="0044178B" w:rsidRPr="0044178B">
        <w:rPr>
          <w:rFonts w:ascii="Sylfaen" w:hAnsi="Sylfaen" w:cs="Sylfaen"/>
          <w:lang w:val="ka-GE"/>
        </w:rPr>
        <w:t>713</w:t>
      </w:r>
      <w:r w:rsidR="0044178B">
        <w:rPr>
          <w:rFonts w:ascii="Sylfaen" w:hAnsi="Sylfaen" w:cs="Sylfaen"/>
          <w:lang w:val="ka-GE"/>
        </w:rPr>
        <w:t xml:space="preserve">.2 </w:t>
      </w:r>
      <w:r w:rsidR="005E0A52" w:rsidRPr="004464CC">
        <w:rPr>
          <w:rFonts w:ascii="Sylfaen" w:hAnsi="Sylfaen" w:cs="Sylfaen"/>
          <w:lang w:val="ka-GE"/>
        </w:rPr>
        <w:t>ათასი ლარი,</w:t>
      </w:r>
      <w:r w:rsidR="00746294" w:rsidRPr="004464CC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ძირითადი თანხის დაფარვა</w:t>
      </w:r>
      <w:r w:rsidR="005E0A52" w:rsidRPr="004464CC">
        <w:rPr>
          <w:rFonts w:ascii="Sylfaen" w:hAnsi="Sylfaen" w:cs="Sylfaen"/>
          <w:lang w:val="ka-GE"/>
        </w:rPr>
        <w:t>მ</w:t>
      </w:r>
      <w:r w:rsidRPr="004464CC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კი</w:t>
      </w:r>
      <w:r w:rsidR="001F3BCB" w:rsidRPr="004464CC">
        <w:rPr>
          <w:rFonts w:ascii="Sylfaen" w:hAnsi="Sylfaen" w:cs="Sylfaen"/>
        </w:rPr>
        <w:t xml:space="preserve"> </w:t>
      </w:r>
      <w:r w:rsidR="0044178B" w:rsidRPr="0044178B">
        <w:rPr>
          <w:rFonts w:ascii="Sylfaen" w:hAnsi="Sylfaen" w:cs="Sylfaen"/>
          <w:lang w:val="ka-GE"/>
        </w:rPr>
        <w:t>414</w:t>
      </w:r>
      <w:r w:rsidR="0044178B">
        <w:rPr>
          <w:rFonts w:ascii="Sylfaen" w:hAnsi="Sylfaen" w:cs="Sylfaen"/>
          <w:lang w:val="ka-GE"/>
        </w:rPr>
        <w:t>,</w:t>
      </w:r>
      <w:r w:rsidR="0044178B" w:rsidRPr="0044178B">
        <w:rPr>
          <w:rFonts w:ascii="Sylfaen" w:hAnsi="Sylfaen" w:cs="Sylfaen"/>
          <w:lang w:val="ka-GE"/>
        </w:rPr>
        <w:t>304</w:t>
      </w:r>
      <w:r w:rsidR="0044178B">
        <w:rPr>
          <w:rFonts w:ascii="Sylfaen" w:hAnsi="Sylfaen" w:cs="Sylfaen"/>
          <w:lang w:val="ka-GE"/>
        </w:rPr>
        <w:t>.</w:t>
      </w:r>
      <w:r w:rsidR="0044178B" w:rsidRPr="0044178B">
        <w:rPr>
          <w:rFonts w:ascii="Sylfaen" w:hAnsi="Sylfaen" w:cs="Sylfaen"/>
          <w:lang w:val="ka-GE"/>
        </w:rPr>
        <w:t>5</w:t>
      </w:r>
      <w:r w:rsidR="0044178B">
        <w:rPr>
          <w:rFonts w:ascii="Sylfaen" w:hAnsi="Sylfaen" w:cs="Sylfaen"/>
          <w:lang w:val="ka-GE"/>
        </w:rPr>
        <w:t xml:space="preserve"> </w:t>
      </w:r>
      <w:r w:rsidRPr="004464CC">
        <w:rPr>
          <w:rFonts w:ascii="Sylfaen" w:hAnsi="Sylfaen" w:cs="Sylfaen"/>
          <w:lang w:val="ka-GE"/>
        </w:rPr>
        <w:t>ათასი ლარი</w:t>
      </w:r>
      <w:r w:rsidR="00746294" w:rsidRPr="004464CC">
        <w:rPr>
          <w:rFonts w:ascii="Sylfaen" w:hAnsi="Sylfaen" w:cs="Sylfaen"/>
          <w:lang w:val="ka-GE"/>
        </w:rPr>
        <w:t xml:space="preserve">. </w:t>
      </w:r>
      <w:r w:rsidR="005E0A52" w:rsidRPr="004464CC">
        <w:rPr>
          <w:rFonts w:ascii="Sylfaen" w:hAnsi="Sylfaen" w:cs="Sylfaen"/>
          <w:lang w:val="ka-GE"/>
        </w:rPr>
        <w:t>შესაბამისად</w:t>
      </w:r>
      <w:r w:rsidR="001B2633" w:rsidRPr="004464CC">
        <w:rPr>
          <w:rFonts w:ascii="Sylfaen" w:hAnsi="Sylfaen" w:cs="Sylfaen"/>
        </w:rPr>
        <w:t>,</w:t>
      </w:r>
      <w:r w:rsidR="005E0A52" w:rsidRPr="004464CC">
        <w:rPr>
          <w:rFonts w:ascii="Sylfaen" w:hAnsi="Sylfaen" w:cs="Sylfaen"/>
          <w:szCs w:val="21"/>
          <w:shd w:val="clear" w:color="auto" w:fill="FFFFFF"/>
          <w:lang w:val="ka-GE"/>
        </w:rPr>
        <w:t xml:space="preserve"> ვალდებულებების </w:t>
      </w:r>
      <w:r w:rsidR="0044178B">
        <w:rPr>
          <w:rFonts w:ascii="Sylfaen" w:hAnsi="Sylfaen" w:cs="Sylfaen"/>
          <w:szCs w:val="21"/>
          <w:shd w:val="clear" w:color="auto" w:fill="FFFFFF"/>
          <w:lang w:val="ka-GE"/>
        </w:rPr>
        <w:t>კლება</w:t>
      </w:r>
      <w:r w:rsidR="0044178B" w:rsidRPr="004464CC">
        <w:rPr>
          <w:rFonts w:ascii="Sylfaen" w:hAnsi="Sylfaen" w:cs="Sylfaen"/>
          <w:lang w:val="ka-GE"/>
        </w:rPr>
        <w:t xml:space="preserve"> </w:t>
      </w:r>
      <w:r w:rsidR="0044178B" w:rsidRPr="0044178B">
        <w:rPr>
          <w:rFonts w:ascii="Sylfaen" w:hAnsi="Sylfaen" w:cs="Sylfaen"/>
          <w:lang w:val="ka-GE"/>
        </w:rPr>
        <w:t>-7</w:t>
      </w:r>
      <w:r w:rsidR="0044178B">
        <w:rPr>
          <w:rFonts w:ascii="Sylfaen" w:hAnsi="Sylfaen" w:cs="Sylfaen"/>
          <w:lang w:val="ka-GE"/>
        </w:rPr>
        <w:t>,</w:t>
      </w:r>
      <w:r w:rsidR="0044178B" w:rsidRPr="0044178B">
        <w:rPr>
          <w:rFonts w:ascii="Sylfaen" w:hAnsi="Sylfaen" w:cs="Sylfaen"/>
          <w:lang w:val="ka-GE"/>
        </w:rPr>
        <w:t>591</w:t>
      </w:r>
      <w:r w:rsidR="0044178B">
        <w:rPr>
          <w:rFonts w:ascii="Sylfaen" w:hAnsi="Sylfaen" w:cs="Sylfaen"/>
          <w:lang w:val="ka-GE"/>
        </w:rPr>
        <w:t>.</w:t>
      </w:r>
      <w:r w:rsidR="0044178B" w:rsidRPr="0044178B">
        <w:rPr>
          <w:rFonts w:ascii="Sylfaen" w:hAnsi="Sylfaen" w:cs="Sylfaen"/>
          <w:lang w:val="ka-GE"/>
        </w:rPr>
        <w:t>3</w:t>
      </w:r>
      <w:r w:rsidR="0044178B">
        <w:rPr>
          <w:rFonts w:ascii="Sylfaen" w:hAnsi="Sylfaen" w:cs="Sylfaen"/>
          <w:lang w:val="ka-GE"/>
        </w:rPr>
        <w:t xml:space="preserve"> </w:t>
      </w:r>
      <w:r w:rsidR="005E0A52" w:rsidRPr="004464CC">
        <w:rPr>
          <w:rFonts w:ascii="Sylfaen" w:hAnsi="Sylfaen" w:cs="Sylfaen"/>
          <w:lang w:val="ka-GE"/>
        </w:rPr>
        <w:t>ათას</w:t>
      </w:r>
      <w:r w:rsidR="00746294" w:rsidRPr="004464CC">
        <w:rPr>
          <w:rFonts w:ascii="Sylfaen" w:hAnsi="Sylfaen" w:cs="Sylfaen"/>
          <w:lang w:val="ka-GE"/>
        </w:rPr>
        <w:t>ი</w:t>
      </w:r>
      <w:r w:rsidR="005E0A52" w:rsidRPr="004464CC">
        <w:rPr>
          <w:rFonts w:ascii="Sylfaen" w:hAnsi="Sylfaen" w:cs="Sylfaen"/>
          <w:lang w:val="ka-GE"/>
        </w:rPr>
        <w:t xml:space="preserve"> ლარით განისაზღვრა.</w:t>
      </w:r>
    </w:p>
    <w:p w:rsidR="00F26066" w:rsidRPr="009531BC" w:rsidRDefault="005E0A52" w:rsidP="00F26066">
      <w:pPr>
        <w:tabs>
          <w:tab w:val="left" w:pos="720"/>
        </w:tabs>
        <w:spacing w:after="0"/>
        <w:ind w:firstLine="540"/>
        <w:jc w:val="both"/>
        <w:rPr>
          <w:rFonts w:ascii="Sylfaen" w:hAnsi="Sylfaen" w:cs="Sylfaen"/>
          <w:lang w:val="ka-GE"/>
        </w:rPr>
      </w:pPr>
      <w:r w:rsidRPr="004464CC">
        <w:rPr>
          <w:rFonts w:ascii="Sylfaen" w:hAnsi="Sylfaen" w:cs="Sylfaen"/>
          <w:lang w:val="ka-GE"/>
        </w:rPr>
        <w:t>საანგარიშო პერიოდში განხორციელდა</w:t>
      </w:r>
      <w:r w:rsidR="00F26066" w:rsidRPr="004464CC">
        <w:rPr>
          <w:rFonts w:ascii="Sylfaen" w:hAnsi="Sylfaen" w:cs="Sylfaen"/>
          <w:lang w:val="ka-GE"/>
        </w:rPr>
        <w:t xml:space="preserve"> სახელმწიფო ობლიგაციების ძირითადი თანხის დაფარვა (სებ-ის მიმართ ვალი) </w:t>
      </w:r>
      <w:r w:rsidR="00D651F7">
        <w:rPr>
          <w:rFonts w:ascii="Sylfaen" w:hAnsi="Sylfaen" w:cs="Sylfaen"/>
          <w:lang w:val="ka-GE"/>
        </w:rPr>
        <w:t>5</w:t>
      </w:r>
      <w:r w:rsidR="00F26066" w:rsidRPr="004464CC">
        <w:rPr>
          <w:rFonts w:ascii="Sylfaen" w:hAnsi="Sylfaen" w:cs="Sylfaen"/>
          <w:lang w:val="ka-GE"/>
        </w:rPr>
        <w:t>,000.0 ათასი ლარის ოდენობით, საქართველოს მთავრობის და საქართველოს ეროვნული ბანკის 2006 წლის 15 მაისის „საქართველოს მთავრობის საქართველოს ეროვნული ბანკისადმი დავალიანების დაფარვის ღონისძიებების შესახებ“</w:t>
      </w:r>
      <w:r w:rsidR="00F26066" w:rsidRPr="009531BC">
        <w:rPr>
          <w:rFonts w:ascii="Sylfaen" w:hAnsi="Sylfaen" w:cs="Sylfaen"/>
          <w:lang w:val="ka-GE"/>
        </w:rPr>
        <w:t xml:space="preserve"> 2006 წლის 20 მარტის შეთანხმებაში ცვლილებების შეტანის თაობაზე“ შეთანხმების შესაბამისად. </w:t>
      </w:r>
    </w:p>
    <w:p w:rsidR="00F26066" w:rsidRPr="00C367E2" w:rsidRDefault="00F26066" w:rsidP="00F26066">
      <w:pPr>
        <w:tabs>
          <w:tab w:val="left" w:pos="720"/>
        </w:tabs>
        <w:spacing w:after="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9531BC">
        <w:rPr>
          <w:rFonts w:ascii="Sylfaen" w:hAnsi="Sylfaen" w:cs="Sylfaen"/>
          <w:lang w:val="ka-GE"/>
        </w:rPr>
        <w:tab/>
      </w:r>
    </w:p>
    <w:p w:rsidR="00F26066" w:rsidRDefault="00F26066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4D26F9" w:rsidRPr="004D26F9" w:rsidRDefault="004D26F9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EC701B" w:rsidRDefault="00EC701B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2B6DAE" w:rsidRDefault="002B6DAE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2B6DAE" w:rsidRDefault="002B6DAE" w:rsidP="00F2606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0858BE" w:rsidRDefault="000858BE" w:rsidP="00F6697A">
      <w:pPr>
        <w:spacing w:after="0"/>
        <w:jc w:val="center"/>
        <w:rPr>
          <w:rFonts w:ascii="Sylfaen" w:hAnsi="Sylfaen" w:cs="Sylfaen"/>
          <w:color w:val="FF0000"/>
          <w:szCs w:val="18"/>
          <w:shd w:val="clear" w:color="auto" w:fill="FFFFFF"/>
        </w:rPr>
      </w:pPr>
    </w:p>
    <w:p w:rsidR="00A93CD1" w:rsidRDefault="00A93CD1" w:rsidP="00F6697A">
      <w:pPr>
        <w:spacing w:after="0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4464CC" w:rsidRDefault="004464CC" w:rsidP="00F6697A">
      <w:pPr>
        <w:spacing w:after="0"/>
        <w:jc w:val="center"/>
        <w:rPr>
          <w:rFonts w:ascii="Sylfaen" w:hAnsi="Sylfaen" w:cs="Sylfaen"/>
          <w:color w:val="FF0000"/>
          <w:szCs w:val="18"/>
          <w:shd w:val="clear" w:color="auto" w:fill="FFFFFF"/>
          <w:lang w:val="ka-GE"/>
        </w:rPr>
      </w:pPr>
    </w:p>
    <w:p w:rsidR="00F6697A" w:rsidRDefault="000340AB" w:rsidP="00F6697A">
      <w:pPr>
        <w:spacing w:after="0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</w:pPr>
      <w:r w:rsidRPr="00B4160B">
        <w:rPr>
          <w:rFonts w:ascii="Sylfaen" w:hAnsi="Sylfaen"/>
          <w:b/>
          <w:lang w:val="ka-GE"/>
        </w:rPr>
        <w:lastRenderedPageBreak/>
        <w:t>სახელმწიფო ვალის</w:t>
      </w:r>
      <w:r>
        <w:rPr>
          <w:rFonts w:ascii="Sylfaen" w:hAnsi="Sylfaen"/>
          <w:b/>
          <w:lang w:val="ka-GE"/>
        </w:rPr>
        <w:t xml:space="preserve"> </w:t>
      </w:r>
      <w:r w:rsidR="0032795B">
        <w:rPr>
          <w:rFonts w:ascii="Sylfaen" w:hAnsi="Sylfaen"/>
          <w:b/>
          <w:lang w:val="ka-GE"/>
        </w:rPr>
        <w:t>ნაშთი</w:t>
      </w:r>
      <w:r w:rsidR="0032795B" w:rsidRPr="00B4160B">
        <w:rPr>
          <w:rFonts w:ascii="Sylfaen" w:hAnsi="Sylfaen"/>
          <w:b/>
          <w:lang w:val="ka-GE"/>
        </w:rPr>
        <w:t xml:space="preserve"> </w:t>
      </w:r>
      <w:r w:rsidR="001A397F" w:rsidRPr="00B4160B">
        <w:rPr>
          <w:rFonts w:ascii="Sylfaen" w:hAnsi="Sylfaen"/>
          <w:b/>
          <w:lang w:val="ka-GE"/>
        </w:rPr>
        <w:t>201</w:t>
      </w:r>
      <w:r w:rsidR="00861F1F">
        <w:rPr>
          <w:rFonts w:ascii="Sylfaen" w:hAnsi="Sylfaen"/>
          <w:b/>
        </w:rPr>
        <w:t>8</w:t>
      </w:r>
      <w:r w:rsidR="001A397F" w:rsidRPr="00B4160B">
        <w:rPr>
          <w:rFonts w:ascii="Sylfaen" w:hAnsi="Sylfaen"/>
          <w:b/>
          <w:lang w:val="ka-GE"/>
        </w:rPr>
        <w:t xml:space="preserve"> </w:t>
      </w:r>
      <w:r w:rsidRPr="00B4160B">
        <w:rPr>
          <w:rFonts w:ascii="Sylfaen" w:hAnsi="Sylfaen"/>
          <w:b/>
          <w:lang w:val="ka-GE"/>
        </w:rPr>
        <w:t xml:space="preserve">წლის </w:t>
      </w:r>
      <w:r w:rsidR="00F86EDF">
        <w:rPr>
          <w:rFonts w:ascii="Sylfaen" w:hAnsi="Sylfaen"/>
          <w:b/>
          <w:lang w:val="ka-GE"/>
        </w:rPr>
        <w:t>31</w:t>
      </w:r>
      <w:r w:rsidR="004033E5">
        <w:rPr>
          <w:rFonts w:ascii="Sylfaen" w:hAnsi="Sylfaen"/>
          <w:b/>
          <w:lang w:val="ka-GE"/>
        </w:rPr>
        <w:t xml:space="preserve"> </w:t>
      </w:r>
      <w:r w:rsidR="00861F1F">
        <w:rPr>
          <w:rFonts w:ascii="Sylfaen" w:hAnsi="Sylfaen"/>
          <w:b/>
          <w:lang w:val="ka-GE"/>
        </w:rPr>
        <w:t xml:space="preserve">მარტის </w:t>
      </w:r>
      <w:r>
        <w:rPr>
          <w:rFonts w:ascii="Sylfaen" w:hAnsi="Sylfaen"/>
          <w:b/>
          <w:lang w:val="ka-GE"/>
        </w:rPr>
        <w:t>მდგომარეობით</w:t>
      </w:r>
    </w:p>
    <w:p w:rsidR="00173BAA" w:rsidRDefault="00B3130D" w:rsidP="00B3130D">
      <w:pPr>
        <w:spacing w:after="0"/>
        <w:ind w:left="5040" w:firstLine="720"/>
        <w:jc w:val="center"/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  <w:t xml:space="preserve">                        </w:t>
      </w:r>
      <w:r w:rsidR="00173BAA" w:rsidRPr="00F66BF1">
        <w:rPr>
          <w:rFonts w:ascii="Sylfaen" w:hAnsi="Sylfaen"/>
          <w:b/>
          <w:bCs/>
          <w:i/>
          <w:color w:val="7F7F7F" w:themeColor="text1" w:themeTint="80"/>
          <w:sz w:val="18"/>
          <w:szCs w:val="18"/>
          <w:lang w:val="ka-GE"/>
        </w:rPr>
        <w:t>ათასი ლარი</w:t>
      </w:r>
    </w:p>
    <w:tbl>
      <w:tblPr>
        <w:tblW w:w="9220" w:type="dxa"/>
        <w:tblLook w:val="04A0" w:firstRow="1" w:lastRow="0" w:firstColumn="1" w:lastColumn="0" w:noHBand="0" w:noVBand="1"/>
      </w:tblPr>
      <w:tblGrid>
        <w:gridCol w:w="460"/>
        <w:gridCol w:w="6760"/>
        <w:gridCol w:w="2000"/>
      </w:tblGrid>
      <w:tr w:rsidR="00311508" w:rsidRPr="00311508" w:rsidTr="00311508">
        <w:trPr>
          <w:trHeight w:val="10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1508" w:rsidRPr="00311508" w:rsidTr="00311508">
        <w:trPr>
          <w:trHeight w:val="367"/>
        </w:trPr>
        <w:tc>
          <w:tcPr>
            <w:tcW w:w="7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კრედიტორი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ნაშთი</w:t>
            </w:r>
            <w:proofErr w:type="spellEnd"/>
            <w:r w:rsidRPr="00311508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r w:rsidRPr="00311508">
              <w:rPr>
                <w:rFonts w:ascii="Calibri" w:eastAsia="Times New Roman" w:hAnsi="Calibri" w:cs="Calibri"/>
                <w:sz w:val="14"/>
                <w:szCs w:val="14"/>
              </w:rPr>
              <w:br/>
            </w: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31.03.2018</w:t>
            </w:r>
            <w:r w:rsidRPr="0031150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</w:p>
        </w:tc>
      </w:tr>
      <w:tr w:rsidR="00311508" w:rsidRPr="00311508" w:rsidTr="00311508">
        <w:trPr>
          <w:trHeight w:val="115"/>
        </w:trPr>
        <w:tc>
          <w:tcPr>
            <w:tcW w:w="72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311508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  <w:proofErr w:type="spellStart"/>
            <w:r w:rsidRPr="00311508">
              <w:rPr>
                <w:rFonts w:ascii="Sylfaen" w:eastAsia="Times New Roman" w:hAnsi="Sylfaen" w:cs="Sylfaen"/>
                <w:sz w:val="14"/>
                <w:szCs w:val="14"/>
              </w:rPr>
              <w:t>ათასი</w:t>
            </w:r>
            <w:proofErr w:type="spellEnd"/>
            <w:r w:rsidRPr="00311508">
              <w:rPr>
                <w:rFonts w:ascii="Calibri" w:eastAsia="Times New Roman" w:hAnsi="Calibri" w:cs="Calibri"/>
                <w:sz w:val="14"/>
                <w:szCs w:val="14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4"/>
                <w:szCs w:val="14"/>
              </w:rPr>
              <w:t>ლარი</w:t>
            </w:r>
            <w:proofErr w:type="spellEnd"/>
            <w:r w:rsidRPr="00311508">
              <w:rPr>
                <w:rFonts w:ascii="Calibri" w:eastAsia="Times New Roman" w:hAnsi="Calibri" w:cs="Calibri"/>
                <w:sz w:val="14"/>
                <w:szCs w:val="14"/>
              </w:rPr>
              <w:t xml:space="preserve">  </w:t>
            </w:r>
          </w:p>
        </w:tc>
      </w:tr>
      <w:tr w:rsidR="00311508" w:rsidRPr="00311508" w:rsidTr="00311508">
        <w:trPr>
          <w:trHeight w:val="457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სულ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სახელმწიფოს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მიერ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და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სახელმწიფოს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გარანტიით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აღებული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საგარეო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12,792,162</w:t>
            </w:r>
          </w:p>
        </w:tc>
      </w:tr>
      <w:tr w:rsidR="00311508" w:rsidRPr="00311508" w:rsidTr="008E435A">
        <w:trPr>
          <w:trHeight w:val="358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9,145,647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მსოფლიო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 (WB)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4,894,624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მეურნეობის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71,731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სავალუტო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(IMF) 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228,164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ევროპის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რეკონსტრუქციისა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329,268</w:t>
            </w:r>
          </w:p>
        </w:tc>
      </w:tr>
      <w:tr w:rsidR="00311508" w:rsidRPr="00311508" w:rsidTr="00311508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აზიის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2,589,687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ევროპის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საინვესტიციო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 (EIB)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940,808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ევროკავშირი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(EU)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68,453</w:t>
            </w:r>
          </w:p>
        </w:tc>
      </w:tr>
      <w:tr w:rsidR="00311508" w:rsidRPr="00311508" w:rsidTr="00311508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აზიის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საინვესტიციო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 (AIIB)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22,913</w:t>
            </w:r>
          </w:p>
        </w:tc>
      </w:tr>
      <w:tr w:rsidR="00311508" w:rsidRPr="00311508" w:rsidTr="00311508">
        <w:trPr>
          <w:trHeight w:val="385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ორმხრივი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2,223,537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37,738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20,511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510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39,310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15,868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164,563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23,443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431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393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50,114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5,771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719,433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537,611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28,776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2,641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ამერიკა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53,663</w:t>
            </w:r>
          </w:p>
        </w:tc>
      </w:tr>
      <w:tr w:rsidR="00311508" w:rsidRPr="00311508" w:rsidTr="00311508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522,760</w:t>
            </w:r>
          </w:p>
        </w:tc>
      </w:tr>
      <w:tr w:rsidR="00311508" w:rsidRPr="00311508" w:rsidTr="00311508">
        <w:trPr>
          <w:trHeight w:val="27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სხვა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საგარეო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1,207,200</w:t>
            </w:r>
          </w:p>
        </w:tc>
      </w:tr>
      <w:tr w:rsidR="00311508" w:rsidRPr="00311508" w:rsidTr="00311508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ევრობონდები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1,207,200</w:t>
            </w:r>
          </w:p>
        </w:tc>
      </w:tr>
      <w:tr w:rsidR="00311508" w:rsidRPr="00311508" w:rsidTr="00311508">
        <w:trPr>
          <w:trHeight w:val="270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სახელმწიფოს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გარანტიით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აღებული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5,166</w:t>
            </w:r>
          </w:p>
        </w:tc>
      </w:tr>
      <w:tr w:rsidR="00311508" w:rsidRPr="00311508" w:rsidTr="00311508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5,166</w:t>
            </w:r>
          </w:p>
        </w:tc>
      </w:tr>
      <w:tr w:rsidR="00311508" w:rsidRPr="00311508" w:rsidTr="00311508">
        <w:trPr>
          <w:trHeight w:val="315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საერთაშორისო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სავალუტო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ფონდი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ეროვნული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ბანკი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)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210,613</w:t>
            </w:r>
          </w:p>
        </w:tc>
      </w:tr>
      <w:tr w:rsidR="00311508" w:rsidRPr="00311508" w:rsidTr="00311508">
        <w:trPr>
          <w:trHeight w:val="315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საშინაო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 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3,522,878</w:t>
            </w:r>
          </w:p>
        </w:tc>
      </w:tr>
      <w:tr w:rsidR="00311508" w:rsidRPr="00311508" w:rsidTr="00311508">
        <w:trPr>
          <w:trHeight w:val="29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ეროვნული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ბანკისთვის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განკუთვნილი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ერთწლიანი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ყოველწლიურად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განახლებადი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ობლიგაცია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280,846</w:t>
            </w:r>
          </w:p>
        </w:tc>
      </w:tr>
      <w:tr w:rsidR="00311508" w:rsidRPr="00311508" w:rsidTr="008E435A">
        <w:trPr>
          <w:trHeight w:val="3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სხვადასხვა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ვადის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სახელმწიფო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ობლიგაციები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ღია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ბაზრის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ოპერაციებისთვის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182,000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ფინანსთა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სამინისტროს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სახაზინო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614,344</w:t>
            </w:r>
          </w:p>
        </w:tc>
      </w:tr>
      <w:tr w:rsidR="00311508" w:rsidRPr="00311508" w:rsidTr="0031150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ფინანსთა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სამინისტროს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სახაზინო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ობლიგაციები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1,773,363</w:t>
            </w:r>
          </w:p>
        </w:tc>
      </w:tr>
      <w:tr w:rsidR="00311508" w:rsidRPr="00311508" w:rsidTr="00311508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"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ისტორიული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sz w:val="16"/>
                <w:szCs w:val="16"/>
              </w:rPr>
              <w:t>ვალი</w:t>
            </w:r>
            <w:proofErr w:type="spellEnd"/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"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sz w:val="16"/>
                <w:szCs w:val="16"/>
              </w:rPr>
              <w:t>672,325</w:t>
            </w:r>
          </w:p>
        </w:tc>
      </w:tr>
      <w:tr w:rsidR="00311508" w:rsidRPr="00311508" w:rsidTr="00311508">
        <w:trPr>
          <w:trHeight w:val="358"/>
        </w:trPr>
        <w:tc>
          <w:tcPr>
            <w:tcW w:w="7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0000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სულ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სახელმწიფო</w:t>
            </w:r>
            <w:proofErr w:type="spellEnd"/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311508">
              <w:rPr>
                <w:rFonts w:ascii="Sylfaen" w:eastAsia="Times New Roman" w:hAnsi="Sylfaen" w:cs="Sylfaen"/>
                <w:b/>
                <w:bCs/>
                <w:color w:val="FFFFFF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311508" w:rsidRPr="00311508" w:rsidRDefault="00311508" w:rsidP="003115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3115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16,315,040</w:t>
            </w:r>
          </w:p>
        </w:tc>
      </w:tr>
    </w:tbl>
    <w:p w:rsidR="00CD1557" w:rsidRDefault="00B04141" w:rsidP="00A6278E">
      <w:pPr>
        <w:spacing w:after="0"/>
        <w:jc w:val="center"/>
        <w:rPr>
          <w:rFonts w:ascii="Sylfaen" w:hAnsi="Sylfaen" w:cs="Sylfaen"/>
          <w:color w:val="FF0000"/>
          <w:sz w:val="18"/>
        </w:rPr>
      </w:pPr>
      <w:r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  <w:t xml:space="preserve">  </w:t>
      </w:r>
    </w:p>
    <w:p w:rsidR="000340AB" w:rsidRDefault="000340AB" w:rsidP="00D57A95">
      <w:pPr>
        <w:spacing w:after="0"/>
        <w:rPr>
          <w:rFonts w:ascii="Sylfaen" w:hAnsi="Sylfaen" w:cs="Sylfaen"/>
          <w:i/>
          <w:sz w:val="16"/>
          <w:szCs w:val="16"/>
          <w:lang w:val="ka-GE"/>
        </w:rPr>
      </w:pPr>
      <w:proofErr w:type="spellStart"/>
      <w:proofErr w:type="gramStart"/>
      <w:r w:rsidRPr="00B01FEA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proofErr w:type="gramEnd"/>
      <w:r w:rsidRPr="00B01FEA">
        <w:rPr>
          <w:i/>
          <w:sz w:val="16"/>
          <w:szCs w:val="16"/>
        </w:rPr>
        <w:t xml:space="preserve">: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Pr="00B01FEA">
        <w:rPr>
          <w:i/>
          <w:sz w:val="16"/>
          <w:szCs w:val="16"/>
        </w:rPr>
        <w:t xml:space="preserve"> </w:t>
      </w:r>
      <w:proofErr w:type="spellStart"/>
      <w:r w:rsidRPr="00B01FEA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  <w:r w:rsidR="002B6DAE">
        <w:rPr>
          <w:rFonts w:ascii="Sylfaen" w:hAnsi="Sylfaen" w:cs="Sylfaen"/>
          <w:i/>
          <w:sz w:val="16"/>
          <w:szCs w:val="16"/>
          <w:lang w:val="ka-GE"/>
        </w:rPr>
        <w:t>;</w:t>
      </w:r>
    </w:p>
    <w:p w:rsidR="009B1B48" w:rsidRPr="00D57A95" w:rsidRDefault="002B6DAE" w:rsidP="0080503E">
      <w:pPr>
        <w:autoSpaceDE w:val="0"/>
        <w:autoSpaceDN w:val="0"/>
        <w:adjustRightInd w:val="0"/>
        <w:spacing w:after="0" w:line="240" w:lineRule="auto"/>
        <w:ind w:left="720"/>
        <w:rPr>
          <w:rFonts w:ascii="Sylfaen" w:hAnsi="Sylfaen" w:cs="Sylfaen"/>
          <w:i/>
          <w:sz w:val="16"/>
          <w:szCs w:val="16"/>
          <w:lang w:val="ka-GE"/>
        </w:rPr>
      </w:pPr>
      <w:proofErr w:type="gramStart"/>
      <w:r w:rsidRPr="00D57A95">
        <w:rPr>
          <w:rFonts w:ascii="Sylfaen" w:hAnsi="Sylfaen" w:cs="Sylfaen"/>
          <w:i/>
          <w:sz w:val="16"/>
          <w:szCs w:val="16"/>
        </w:rPr>
        <w:t>ე</w:t>
      </w:r>
      <w:proofErr w:type="gramEnd"/>
      <w:r w:rsidRPr="00D57A95">
        <w:rPr>
          <w:rFonts w:ascii="Sylfaen" w:hAnsi="Sylfaen" w:cs="Sylfaen"/>
          <w:i/>
          <w:sz w:val="16"/>
          <w:szCs w:val="16"/>
        </w:rPr>
        <w:t>. წ. „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ისტორიული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ვალის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“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მოცულობა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 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საორიენტაციოა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,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ვინაიდან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ამ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კატეგორიის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უმეტესი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ნაწილი</w:t>
      </w:r>
      <w:proofErr w:type="spellEnd"/>
      <w:r w:rsidRPr="00D57A95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D57A95">
        <w:rPr>
          <w:rFonts w:ascii="Sylfaen" w:hAnsi="Sylfaen" w:cs="Sylfaen"/>
          <w:i/>
          <w:sz w:val="16"/>
          <w:szCs w:val="16"/>
        </w:rPr>
        <w:t>დასაზუსტებელია</w:t>
      </w:r>
      <w:proofErr w:type="spellEnd"/>
    </w:p>
    <w:sectPr w:rsidR="009B1B48" w:rsidRPr="00D57A95" w:rsidSect="00E5366B">
      <w:footerReference w:type="default" r:id="rId13"/>
      <w:pgSz w:w="11907" w:h="16839" w:code="9"/>
      <w:pgMar w:top="630" w:right="1275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B7" w:rsidRDefault="008D52B7" w:rsidP="00400BED">
      <w:pPr>
        <w:spacing w:after="0" w:line="240" w:lineRule="auto"/>
      </w:pPr>
      <w:r>
        <w:separator/>
      </w:r>
    </w:p>
  </w:endnote>
  <w:endnote w:type="continuationSeparator" w:id="0">
    <w:p w:rsidR="008D52B7" w:rsidRDefault="008D52B7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524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544" w:rsidRDefault="006E6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6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6544" w:rsidRDefault="006E6544" w:rsidP="00E5366B">
    <w:pPr>
      <w:pStyle w:val="Footer"/>
      <w:tabs>
        <w:tab w:val="clear" w:pos="4680"/>
        <w:tab w:val="clear" w:pos="9360"/>
        <w:tab w:val="left" w:pos="66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B7" w:rsidRDefault="008D52B7" w:rsidP="00400BED">
      <w:pPr>
        <w:spacing w:after="0" w:line="240" w:lineRule="auto"/>
      </w:pPr>
      <w:r>
        <w:separator/>
      </w:r>
    </w:p>
  </w:footnote>
  <w:footnote w:type="continuationSeparator" w:id="0">
    <w:p w:rsidR="008D52B7" w:rsidRDefault="008D52B7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30CF6"/>
    <w:rsid w:val="000340AB"/>
    <w:rsid w:val="0003606D"/>
    <w:rsid w:val="00036CFD"/>
    <w:rsid w:val="00037587"/>
    <w:rsid w:val="00040C4B"/>
    <w:rsid w:val="00043645"/>
    <w:rsid w:val="00044F01"/>
    <w:rsid w:val="000458CE"/>
    <w:rsid w:val="00054AB0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A14"/>
    <w:rsid w:val="0007519C"/>
    <w:rsid w:val="000771C9"/>
    <w:rsid w:val="0008119F"/>
    <w:rsid w:val="00081DE3"/>
    <w:rsid w:val="00082B61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F64"/>
    <w:rsid w:val="000B16F8"/>
    <w:rsid w:val="000B2189"/>
    <w:rsid w:val="000B567A"/>
    <w:rsid w:val="000B6954"/>
    <w:rsid w:val="000B6CAA"/>
    <w:rsid w:val="000C139F"/>
    <w:rsid w:val="000C57D0"/>
    <w:rsid w:val="000D046A"/>
    <w:rsid w:val="000D159E"/>
    <w:rsid w:val="000D1A17"/>
    <w:rsid w:val="000D4D25"/>
    <w:rsid w:val="000D7D26"/>
    <w:rsid w:val="000E0438"/>
    <w:rsid w:val="000E4DAD"/>
    <w:rsid w:val="000E7432"/>
    <w:rsid w:val="000E7E49"/>
    <w:rsid w:val="000F00E4"/>
    <w:rsid w:val="000F13F4"/>
    <w:rsid w:val="000F55BB"/>
    <w:rsid w:val="000F5720"/>
    <w:rsid w:val="000F7FD3"/>
    <w:rsid w:val="00102D0F"/>
    <w:rsid w:val="001055DA"/>
    <w:rsid w:val="00110A1B"/>
    <w:rsid w:val="0012038B"/>
    <w:rsid w:val="00121AE2"/>
    <w:rsid w:val="00124299"/>
    <w:rsid w:val="001261C7"/>
    <w:rsid w:val="00126E5C"/>
    <w:rsid w:val="0013125A"/>
    <w:rsid w:val="0013347B"/>
    <w:rsid w:val="00137ED5"/>
    <w:rsid w:val="00140A2F"/>
    <w:rsid w:val="00144098"/>
    <w:rsid w:val="001441DC"/>
    <w:rsid w:val="00145367"/>
    <w:rsid w:val="001536D0"/>
    <w:rsid w:val="00154312"/>
    <w:rsid w:val="00157433"/>
    <w:rsid w:val="00160413"/>
    <w:rsid w:val="00162FC7"/>
    <w:rsid w:val="0016733A"/>
    <w:rsid w:val="001673DC"/>
    <w:rsid w:val="00173BAA"/>
    <w:rsid w:val="001763B0"/>
    <w:rsid w:val="001800B6"/>
    <w:rsid w:val="001819E6"/>
    <w:rsid w:val="00181ECC"/>
    <w:rsid w:val="00182832"/>
    <w:rsid w:val="00187C1C"/>
    <w:rsid w:val="00193364"/>
    <w:rsid w:val="00197E9D"/>
    <w:rsid w:val="001A2AFB"/>
    <w:rsid w:val="001A3600"/>
    <w:rsid w:val="001A397F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61BA"/>
    <w:rsid w:val="001E62A2"/>
    <w:rsid w:val="001E6933"/>
    <w:rsid w:val="001F1323"/>
    <w:rsid w:val="001F3BCB"/>
    <w:rsid w:val="00200F18"/>
    <w:rsid w:val="0020475E"/>
    <w:rsid w:val="00206BEB"/>
    <w:rsid w:val="00210947"/>
    <w:rsid w:val="00215653"/>
    <w:rsid w:val="0022130D"/>
    <w:rsid w:val="00222842"/>
    <w:rsid w:val="00225341"/>
    <w:rsid w:val="00227F48"/>
    <w:rsid w:val="00233B5E"/>
    <w:rsid w:val="0023438F"/>
    <w:rsid w:val="00236007"/>
    <w:rsid w:val="0024105B"/>
    <w:rsid w:val="0024488E"/>
    <w:rsid w:val="00247C11"/>
    <w:rsid w:val="0025039F"/>
    <w:rsid w:val="00256FDD"/>
    <w:rsid w:val="00262BF3"/>
    <w:rsid w:val="00263EAD"/>
    <w:rsid w:val="00270120"/>
    <w:rsid w:val="002758CB"/>
    <w:rsid w:val="0028042E"/>
    <w:rsid w:val="0028088E"/>
    <w:rsid w:val="00280FA2"/>
    <w:rsid w:val="00281A88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B1FB3"/>
    <w:rsid w:val="002B3E23"/>
    <w:rsid w:val="002B47AA"/>
    <w:rsid w:val="002B61B5"/>
    <w:rsid w:val="002B6DAE"/>
    <w:rsid w:val="002B6F15"/>
    <w:rsid w:val="002B7EE6"/>
    <w:rsid w:val="002C2F60"/>
    <w:rsid w:val="002C41C2"/>
    <w:rsid w:val="002C7782"/>
    <w:rsid w:val="002D15C8"/>
    <w:rsid w:val="002D16E4"/>
    <w:rsid w:val="002D22B9"/>
    <w:rsid w:val="002D4A9E"/>
    <w:rsid w:val="002D6813"/>
    <w:rsid w:val="002E3E75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5B39"/>
    <w:rsid w:val="0035676A"/>
    <w:rsid w:val="00361883"/>
    <w:rsid w:val="00364196"/>
    <w:rsid w:val="00375F6E"/>
    <w:rsid w:val="00377B9F"/>
    <w:rsid w:val="00382167"/>
    <w:rsid w:val="003838EC"/>
    <w:rsid w:val="00387352"/>
    <w:rsid w:val="00395CE1"/>
    <w:rsid w:val="003967C1"/>
    <w:rsid w:val="003A0E81"/>
    <w:rsid w:val="003A2211"/>
    <w:rsid w:val="003A343D"/>
    <w:rsid w:val="003A4A93"/>
    <w:rsid w:val="003B1490"/>
    <w:rsid w:val="003B15C3"/>
    <w:rsid w:val="003B22D1"/>
    <w:rsid w:val="003B4834"/>
    <w:rsid w:val="003B5B47"/>
    <w:rsid w:val="003B68A7"/>
    <w:rsid w:val="003C2AE8"/>
    <w:rsid w:val="003C3825"/>
    <w:rsid w:val="003C5914"/>
    <w:rsid w:val="003C60E3"/>
    <w:rsid w:val="003C633D"/>
    <w:rsid w:val="003D0F28"/>
    <w:rsid w:val="003D158A"/>
    <w:rsid w:val="003D5A3B"/>
    <w:rsid w:val="003D6E27"/>
    <w:rsid w:val="003E2AE8"/>
    <w:rsid w:val="003E2E05"/>
    <w:rsid w:val="003E2FDF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6472"/>
    <w:rsid w:val="00425B8C"/>
    <w:rsid w:val="00425E7D"/>
    <w:rsid w:val="00426244"/>
    <w:rsid w:val="00427DC2"/>
    <w:rsid w:val="004324BD"/>
    <w:rsid w:val="00434625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17A6"/>
    <w:rsid w:val="004D26F9"/>
    <w:rsid w:val="004D7B47"/>
    <w:rsid w:val="004E2497"/>
    <w:rsid w:val="004E422E"/>
    <w:rsid w:val="004F5AB2"/>
    <w:rsid w:val="0050185A"/>
    <w:rsid w:val="00501E22"/>
    <w:rsid w:val="005131CE"/>
    <w:rsid w:val="00515451"/>
    <w:rsid w:val="005165EB"/>
    <w:rsid w:val="00523560"/>
    <w:rsid w:val="00526BD4"/>
    <w:rsid w:val="0053399C"/>
    <w:rsid w:val="00534D33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E0A52"/>
    <w:rsid w:val="005E1257"/>
    <w:rsid w:val="005E2930"/>
    <w:rsid w:val="005E5330"/>
    <w:rsid w:val="005E581F"/>
    <w:rsid w:val="005E5E26"/>
    <w:rsid w:val="005E63ED"/>
    <w:rsid w:val="005E7CA8"/>
    <w:rsid w:val="005F36E9"/>
    <w:rsid w:val="005F6B8A"/>
    <w:rsid w:val="006042C4"/>
    <w:rsid w:val="00615CCA"/>
    <w:rsid w:val="006168BD"/>
    <w:rsid w:val="006202AE"/>
    <w:rsid w:val="006204B4"/>
    <w:rsid w:val="00621E8E"/>
    <w:rsid w:val="00623F0F"/>
    <w:rsid w:val="00626122"/>
    <w:rsid w:val="006268F4"/>
    <w:rsid w:val="0063481F"/>
    <w:rsid w:val="0064753E"/>
    <w:rsid w:val="00651040"/>
    <w:rsid w:val="0065336E"/>
    <w:rsid w:val="006546E7"/>
    <w:rsid w:val="006578EC"/>
    <w:rsid w:val="00661B66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D87"/>
    <w:rsid w:val="0068719D"/>
    <w:rsid w:val="00693321"/>
    <w:rsid w:val="00693542"/>
    <w:rsid w:val="00694AB3"/>
    <w:rsid w:val="00694EFF"/>
    <w:rsid w:val="006A0EC7"/>
    <w:rsid w:val="006A1E01"/>
    <w:rsid w:val="006A3476"/>
    <w:rsid w:val="006A41DE"/>
    <w:rsid w:val="006A47A2"/>
    <w:rsid w:val="006A7D49"/>
    <w:rsid w:val="006B398B"/>
    <w:rsid w:val="006C2FB0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6544"/>
    <w:rsid w:val="006F1443"/>
    <w:rsid w:val="006F1A93"/>
    <w:rsid w:val="006F2BB7"/>
    <w:rsid w:val="006F334D"/>
    <w:rsid w:val="006F34C1"/>
    <w:rsid w:val="006F4151"/>
    <w:rsid w:val="006F4202"/>
    <w:rsid w:val="006F4803"/>
    <w:rsid w:val="006F576F"/>
    <w:rsid w:val="006F5BEB"/>
    <w:rsid w:val="006F6D3E"/>
    <w:rsid w:val="00700C95"/>
    <w:rsid w:val="007039CE"/>
    <w:rsid w:val="00705B9D"/>
    <w:rsid w:val="0070689E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7314"/>
    <w:rsid w:val="007449DE"/>
    <w:rsid w:val="00746294"/>
    <w:rsid w:val="007464DB"/>
    <w:rsid w:val="00746651"/>
    <w:rsid w:val="007638B2"/>
    <w:rsid w:val="00764192"/>
    <w:rsid w:val="007643C1"/>
    <w:rsid w:val="00771909"/>
    <w:rsid w:val="007720D8"/>
    <w:rsid w:val="00780B7F"/>
    <w:rsid w:val="0078542F"/>
    <w:rsid w:val="00790043"/>
    <w:rsid w:val="007A0D67"/>
    <w:rsid w:val="007A32FD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881"/>
    <w:rsid w:val="007E711B"/>
    <w:rsid w:val="007E716B"/>
    <w:rsid w:val="007F2E76"/>
    <w:rsid w:val="007F2F53"/>
    <w:rsid w:val="007F3733"/>
    <w:rsid w:val="007F71FD"/>
    <w:rsid w:val="0080503E"/>
    <w:rsid w:val="00806DA4"/>
    <w:rsid w:val="00812C36"/>
    <w:rsid w:val="008145A3"/>
    <w:rsid w:val="008153BB"/>
    <w:rsid w:val="00817C42"/>
    <w:rsid w:val="0082056D"/>
    <w:rsid w:val="00824C51"/>
    <w:rsid w:val="00826C90"/>
    <w:rsid w:val="0083184C"/>
    <w:rsid w:val="008330FC"/>
    <w:rsid w:val="00836A37"/>
    <w:rsid w:val="008405A5"/>
    <w:rsid w:val="008416A6"/>
    <w:rsid w:val="00844711"/>
    <w:rsid w:val="00844751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FD3"/>
    <w:rsid w:val="00881898"/>
    <w:rsid w:val="0088487C"/>
    <w:rsid w:val="00885C87"/>
    <w:rsid w:val="00890F23"/>
    <w:rsid w:val="008931CF"/>
    <w:rsid w:val="00895BDF"/>
    <w:rsid w:val="0089646B"/>
    <w:rsid w:val="008A1C29"/>
    <w:rsid w:val="008A296A"/>
    <w:rsid w:val="008A7DED"/>
    <w:rsid w:val="008B2C36"/>
    <w:rsid w:val="008C0A08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52B7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31BC"/>
    <w:rsid w:val="0096271C"/>
    <w:rsid w:val="0096590B"/>
    <w:rsid w:val="009660A9"/>
    <w:rsid w:val="009734FB"/>
    <w:rsid w:val="009816B7"/>
    <w:rsid w:val="00982850"/>
    <w:rsid w:val="00982E29"/>
    <w:rsid w:val="00986AAF"/>
    <w:rsid w:val="009917B8"/>
    <w:rsid w:val="00991B14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D1D40"/>
    <w:rsid w:val="009D383C"/>
    <w:rsid w:val="009D5407"/>
    <w:rsid w:val="009D575E"/>
    <w:rsid w:val="009D66CB"/>
    <w:rsid w:val="009D72B5"/>
    <w:rsid w:val="009E49DA"/>
    <w:rsid w:val="009E5F2B"/>
    <w:rsid w:val="009F1D79"/>
    <w:rsid w:val="009F6AC0"/>
    <w:rsid w:val="009F7E90"/>
    <w:rsid w:val="00A04E5E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404B7"/>
    <w:rsid w:val="00A45EB8"/>
    <w:rsid w:val="00A5293F"/>
    <w:rsid w:val="00A56E3B"/>
    <w:rsid w:val="00A6278E"/>
    <w:rsid w:val="00A63967"/>
    <w:rsid w:val="00A67F51"/>
    <w:rsid w:val="00A74699"/>
    <w:rsid w:val="00A751B7"/>
    <w:rsid w:val="00A761DC"/>
    <w:rsid w:val="00A854D8"/>
    <w:rsid w:val="00A85818"/>
    <w:rsid w:val="00A87F14"/>
    <w:rsid w:val="00A90B92"/>
    <w:rsid w:val="00A90C44"/>
    <w:rsid w:val="00A91823"/>
    <w:rsid w:val="00A93CD1"/>
    <w:rsid w:val="00AA1660"/>
    <w:rsid w:val="00AB0A72"/>
    <w:rsid w:val="00AB4534"/>
    <w:rsid w:val="00AB5A99"/>
    <w:rsid w:val="00AC1154"/>
    <w:rsid w:val="00AC2209"/>
    <w:rsid w:val="00AD0BC4"/>
    <w:rsid w:val="00AD2D43"/>
    <w:rsid w:val="00AD5E57"/>
    <w:rsid w:val="00AE3BBE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30876"/>
    <w:rsid w:val="00B3130D"/>
    <w:rsid w:val="00B32432"/>
    <w:rsid w:val="00B44750"/>
    <w:rsid w:val="00B44900"/>
    <w:rsid w:val="00B460EB"/>
    <w:rsid w:val="00B502E6"/>
    <w:rsid w:val="00B5085B"/>
    <w:rsid w:val="00B55FD3"/>
    <w:rsid w:val="00B60154"/>
    <w:rsid w:val="00B61F3B"/>
    <w:rsid w:val="00B64DB8"/>
    <w:rsid w:val="00B662F1"/>
    <w:rsid w:val="00B6654D"/>
    <w:rsid w:val="00B67339"/>
    <w:rsid w:val="00B72782"/>
    <w:rsid w:val="00B73877"/>
    <w:rsid w:val="00B741CD"/>
    <w:rsid w:val="00B7509F"/>
    <w:rsid w:val="00B76574"/>
    <w:rsid w:val="00B830F8"/>
    <w:rsid w:val="00B84C15"/>
    <w:rsid w:val="00B95192"/>
    <w:rsid w:val="00B95528"/>
    <w:rsid w:val="00BA297C"/>
    <w:rsid w:val="00BA42EA"/>
    <w:rsid w:val="00BA6094"/>
    <w:rsid w:val="00BB4019"/>
    <w:rsid w:val="00BC132A"/>
    <w:rsid w:val="00BC168E"/>
    <w:rsid w:val="00BC505C"/>
    <w:rsid w:val="00BC5E24"/>
    <w:rsid w:val="00BC764D"/>
    <w:rsid w:val="00BD1D05"/>
    <w:rsid w:val="00BD3C50"/>
    <w:rsid w:val="00BD4E03"/>
    <w:rsid w:val="00BD7F9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C0434C"/>
    <w:rsid w:val="00C04FBA"/>
    <w:rsid w:val="00C11D79"/>
    <w:rsid w:val="00C126E1"/>
    <w:rsid w:val="00C13117"/>
    <w:rsid w:val="00C136E3"/>
    <w:rsid w:val="00C17F88"/>
    <w:rsid w:val="00C21AE9"/>
    <w:rsid w:val="00C31756"/>
    <w:rsid w:val="00C31F7F"/>
    <w:rsid w:val="00C367E2"/>
    <w:rsid w:val="00C36A3D"/>
    <w:rsid w:val="00C37E2F"/>
    <w:rsid w:val="00C42DBB"/>
    <w:rsid w:val="00C44420"/>
    <w:rsid w:val="00C4579F"/>
    <w:rsid w:val="00C52BA0"/>
    <w:rsid w:val="00C644C6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602D"/>
    <w:rsid w:val="00CA4A72"/>
    <w:rsid w:val="00CA65F9"/>
    <w:rsid w:val="00CA70A1"/>
    <w:rsid w:val="00CB2BCD"/>
    <w:rsid w:val="00CB36D7"/>
    <w:rsid w:val="00CB3F5C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3A41"/>
    <w:rsid w:val="00D01070"/>
    <w:rsid w:val="00D0479D"/>
    <w:rsid w:val="00D04E46"/>
    <w:rsid w:val="00D05684"/>
    <w:rsid w:val="00D059C8"/>
    <w:rsid w:val="00D10101"/>
    <w:rsid w:val="00D1142C"/>
    <w:rsid w:val="00D12397"/>
    <w:rsid w:val="00D207EF"/>
    <w:rsid w:val="00D21BD3"/>
    <w:rsid w:val="00D2609D"/>
    <w:rsid w:val="00D261E7"/>
    <w:rsid w:val="00D26939"/>
    <w:rsid w:val="00D31A08"/>
    <w:rsid w:val="00D32336"/>
    <w:rsid w:val="00D3238E"/>
    <w:rsid w:val="00D34895"/>
    <w:rsid w:val="00D42125"/>
    <w:rsid w:val="00D47CCE"/>
    <w:rsid w:val="00D539F2"/>
    <w:rsid w:val="00D53A3C"/>
    <w:rsid w:val="00D55D57"/>
    <w:rsid w:val="00D568BA"/>
    <w:rsid w:val="00D57A95"/>
    <w:rsid w:val="00D62208"/>
    <w:rsid w:val="00D628D5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24F1"/>
    <w:rsid w:val="00D82521"/>
    <w:rsid w:val="00D82D13"/>
    <w:rsid w:val="00D83C3E"/>
    <w:rsid w:val="00D84173"/>
    <w:rsid w:val="00D8647C"/>
    <w:rsid w:val="00D90239"/>
    <w:rsid w:val="00D918E1"/>
    <w:rsid w:val="00D920AD"/>
    <w:rsid w:val="00D94C3D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C24F5"/>
    <w:rsid w:val="00DC3604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7E10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32A9"/>
    <w:rsid w:val="00E5366B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BCB"/>
    <w:rsid w:val="00E857B0"/>
    <w:rsid w:val="00E9045D"/>
    <w:rsid w:val="00EA2D25"/>
    <w:rsid w:val="00EA388F"/>
    <w:rsid w:val="00EA65D7"/>
    <w:rsid w:val="00EB0470"/>
    <w:rsid w:val="00EB1B0E"/>
    <w:rsid w:val="00EB2E2F"/>
    <w:rsid w:val="00EB4097"/>
    <w:rsid w:val="00EB7421"/>
    <w:rsid w:val="00EC0C5D"/>
    <w:rsid w:val="00EC2EC2"/>
    <w:rsid w:val="00EC5B6F"/>
    <w:rsid w:val="00EC701B"/>
    <w:rsid w:val="00ED0545"/>
    <w:rsid w:val="00ED0857"/>
    <w:rsid w:val="00ED39B6"/>
    <w:rsid w:val="00ED3F2C"/>
    <w:rsid w:val="00ED69D4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31FF"/>
    <w:rsid w:val="00F34EAC"/>
    <w:rsid w:val="00F35BA9"/>
    <w:rsid w:val="00F37717"/>
    <w:rsid w:val="00F446F1"/>
    <w:rsid w:val="00F51E84"/>
    <w:rsid w:val="00F51EBA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6ABC"/>
    <w:rsid w:val="00FA7488"/>
    <w:rsid w:val="00FA74FF"/>
    <w:rsid w:val="00FB723F"/>
    <w:rsid w:val="00FC40F7"/>
    <w:rsid w:val="00FD0340"/>
    <w:rsid w:val="00FD1BE5"/>
    <w:rsid w:val="00FD412B"/>
    <w:rsid w:val="00FD4331"/>
    <w:rsid w:val="00FD538A"/>
    <w:rsid w:val="00FD6622"/>
    <w:rsid w:val="00FD6A02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E8474"/>
  <w15:docId w15:val="{EF7A1C24-BAB6-4472-8555-71177DB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7%20DEC_GEO-Eng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Manana\AVERAGE%20Terms\Average%20Weighted%20Interest%20Rate_2018%20MAR_GEO-E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22%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>
                        <a:solidFill>
                          <a:sysClr val="windowText" lastClr="000000"/>
                        </a:solidFill>
                      </a:rPr>
                      <a:t>მრავალმხრივი
57%</a:t>
                    </a:r>
                    <a:endParaRPr lang="ka-GE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5877157499950911"/>
                  <c:y val="-2.962962962962963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/>
                      <a:t>ორმხრივი
14%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0.14029659385127649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b="0">
                        <a:solidFill>
                          <a:sysClr val="windowText" lastClr="000000"/>
                        </a:solidFill>
                      </a:rPr>
                      <a:t>ევრობონდი
7 %</a:t>
                    </a:r>
                    <a:endParaRPr lang="ka-GE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dirty="0">
                        <a:solidFill>
                          <a:sysClr val="windowText" lastClr="000000"/>
                        </a:solidFill>
                      </a:rPr>
                      <a:t>საგარეო
78%</a:t>
                    </a:r>
                    <a:endParaRPr lang="ka-GE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000" b="0"/>
            </a:pPr>
            <a:r>
              <a:rPr lang="ka-GE" sz="1000" b="0" i="0" u="none" strike="noStrike" baseline="0"/>
              <a:t>საპროცენტო განაკვეთის ტიპი</a:t>
            </a:r>
            <a:endParaRPr lang="en-US" sz="1000" b="0"/>
          </a:p>
        </c:rich>
      </c:tx>
      <c:layout>
        <c:manualLayout>
          <c:xMode val="edge"/>
          <c:yMode val="edge"/>
          <c:x val="0.18627450980392157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77261626080522"/>
          <c:y val="0.16151019584090451"/>
          <c:w val="0.82278336829517917"/>
          <c:h val="0.80630584334852873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111-4977-804C-34D50D70DA1E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111-4977-804C-34D50D70DA1E}"/>
              </c:ext>
            </c:extLst>
          </c:dPt>
          <c:dLbls>
            <c:dLbl>
              <c:idx val="0"/>
              <c:layout>
                <c:manualLayout>
                  <c:x val="-0.15265112131253863"/>
                  <c:y val="-0.145667777104784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11-4977-804C-34D50D70DA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DEC!$L$20:$L$21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DEC!$M$20:$M$21</c:f>
              <c:numCache>
                <c:formatCode>_(* #,##0_);_(* \(#,##0\);_(* "-"??_);_(@_)</c:formatCode>
                <c:ptCount val="2"/>
                <c:pt idx="0">
                  <c:v>3337896.49</c:v>
                </c:pt>
                <c:pt idx="1">
                  <c:v>1839493.095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11-4977-804C-34D50D70DA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352618966107502E-2"/>
          <c:y val="0.2362533199440654"/>
          <c:w val="0.7885233041521984"/>
          <c:h val="0.71607087552673321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5"/>
              </a:solidFill>
            </c:spPr>
            <c:extLst>
              <c:ext xmlns:c16="http://schemas.microsoft.com/office/drawing/2014/chart" uri="{C3380CC4-5D6E-409C-BE32-E72D297353CC}">
                <c16:uniqueId val="{00000001-B80F-497D-A58B-AC201435697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80F-497D-A58B-AC201435697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80F-497D-A58B-AC2014356976}"/>
              </c:ext>
            </c:extLst>
          </c:dPt>
          <c:dLbls>
            <c:dLbl>
              <c:idx val="0"/>
              <c:layout>
                <c:manualLayout>
                  <c:x val="-0.18260583594728549"/>
                  <c:y val="-5.0115130217409765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0F-497D-A58B-AC2014356976}"/>
                </c:ext>
              </c:extLst>
            </c:dLbl>
            <c:dLbl>
              <c:idx val="1"/>
              <c:layout>
                <c:manualLayout>
                  <c:x val="0.16154311145889369"/>
                  <c:y val="-0.257354086698638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0F-497D-A58B-AC2014356976}"/>
                </c:ext>
              </c:extLst>
            </c:dLbl>
            <c:dLbl>
              <c:idx val="2"/>
              <c:layout>
                <c:manualLayout>
                  <c:x val="0.12841238323470436"/>
                  <c:y val="0.179831163833960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0F-497D-A58B-AC2014356976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7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0F-497D-A58B-AC201435697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'Mar-18'!$K$46:$K$49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'Mar-18'!$M$46:$M$49</c:f>
              <c:numCache>
                <c:formatCode>0%</c:formatCode>
                <c:ptCount val="4"/>
                <c:pt idx="0">
                  <c:v>0.23256918187239692</c:v>
                </c:pt>
                <c:pt idx="1">
                  <c:v>0.3982786937275668</c:v>
                </c:pt>
                <c:pt idx="2">
                  <c:v>0.32442491403219986</c:v>
                </c:pt>
                <c:pt idx="3">
                  <c:v>4.4727210367836404E-2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80F-497D-A58B-AC2014356976}"/>
            </c:ext>
          </c:extLst>
        </c:ser>
        <c:ser>
          <c:idx val="1"/>
          <c:order val="1"/>
          <c:explosion val="25"/>
          <c:cat>
            <c:strRef>
              <c:f>'Mar-18'!$K$46:$K$49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'Mar-18'!$M$48:$M$51</c:f>
              <c:numCache>
                <c:formatCode>0%</c:formatCode>
                <c:ptCount val="4"/>
                <c:pt idx="0">
                  <c:v>0.32442491403219986</c:v>
                </c:pt>
                <c:pt idx="1">
                  <c:v>4.4727210367836404E-2</c:v>
                </c:pt>
                <c:pt idx="2" formatCode="0.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80F-497D-A58B-AC20143569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0.14829</cdr:x>
      <cdr:y>0.03655</cdr:y>
    </cdr:from>
    <cdr:to>
      <cdr:x>0.85882</cdr:x>
      <cdr:y>0.17013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79002" y="77885"/>
          <a:ext cx="1816026" cy="2846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10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1000" b="0">
            <a:effectLst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78A7-AAF4-4799-A182-7FEFC7C0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Shanshiashvili</dc:creator>
  <cp:lastModifiedBy>Inga Gurgenidze</cp:lastModifiedBy>
  <cp:revision>7</cp:revision>
  <cp:lastPrinted>2018-04-27T12:36:00Z</cp:lastPrinted>
  <dcterms:created xsi:type="dcterms:W3CDTF">2018-04-19T12:45:00Z</dcterms:created>
  <dcterms:modified xsi:type="dcterms:W3CDTF">2018-04-27T12:43:00Z</dcterms:modified>
</cp:coreProperties>
</file>